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2A" w:rsidRDefault="00A9072A" w:rsidP="00A9072A">
      <w:pPr>
        <w:spacing w:line="520" w:lineRule="exact"/>
        <w:ind w:right="-4"/>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济南市中级人民法院</w:t>
      </w:r>
    </w:p>
    <w:p w:rsidR="00A9072A" w:rsidRDefault="00A9072A" w:rsidP="00A9072A">
      <w:pPr>
        <w:spacing w:line="520" w:lineRule="exact"/>
        <w:ind w:right="-4"/>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关于与特邀调解组织、特邀调解员</w:t>
      </w:r>
      <w:proofErr w:type="gramStart"/>
      <w:r>
        <w:rPr>
          <w:rFonts w:ascii="方正小标宋简体" w:eastAsia="方正小标宋简体" w:hAnsi="华文中宋" w:hint="eastAsia"/>
          <w:sz w:val="44"/>
          <w:szCs w:val="44"/>
        </w:rPr>
        <w:t>开展诉调对接</w:t>
      </w:r>
      <w:proofErr w:type="gramEnd"/>
      <w:r>
        <w:rPr>
          <w:rFonts w:ascii="方正小标宋简体" w:eastAsia="方正小标宋简体" w:hAnsi="华文中宋" w:hint="eastAsia"/>
          <w:sz w:val="44"/>
          <w:szCs w:val="44"/>
        </w:rPr>
        <w:t>工作的实施意见（试行）</w:t>
      </w:r>
    </w:p>
    <w:p w:rsidR="00A9072A" w:rsidRDefault="00A9072A" w:rsidP="00A9072A">
      <w:pPr>
        <w:spacing w:line="520" w:lineRule="exact"/>
        <w:ind w:firstLineChars="200" w:firstLine="624"/>
        <w:jc w:val="center"/>
        <w:rPr>
          <w:rFonts w:ascii="黑体" w:eastAsia="黑体" w:hAnsi="黑体" w:hint="eastAsia"/>
          <w:szCs w:val="32"/>
        </w:rPr>
      </w:pPr>
    </w:p>
    <w:p w:rsidR="00A9072A" w:rsidRDefault="00A9072A" w:rsidP="00A9072A">
      <w:pPr>
        <w:spacing w:line="520" w:lineRule="exact"/>
        <w:ind w:firstLineChars="200" w:firstLine="624"/>
        <w:rPr>
          <w:rFonts w:ascii="仿宋" w:eastAsia="仿宋" w:hAnsi="仿宋" w:hint="eastAsia"/>
          <w:szCs w:val="32"/>
        </w:rPr>
      </w:pPr>
      <w:r>
        <w:rPr>
          <w:rFonts w:ascii="仿宋" w:eastAsia="仿宋" w:hAnsi="仿宋"/>
          <w:szCs w:val="32"/>
        </w:rPr>
        <w:t>为</w:t>
      </w:r>
      <w:r>
        <w:rPr>
          <w:rFonts w:ascii="仿宋" w:eastAsia="仿宋" w:hAnsi="仿宋" w:hint="eastAsia"/>
          <w:szCs w:val="32"/>
        </w:rPr>
        <w:t>贯彻</w:t>
      </w:r>
      <w:r>
        <w:rPr>
          <w:rFonts w:ascii="仿宋" w:eastAsia="仿宋" w:hAnsi="仿宋"/>
          <w:szCs w:val="32"/>
        </w:rPr>
        <w:t>落实</w:t>
      </w:r>
      <w:r>
        <w:rPr>
          <w:rFonts w:ascii="仿宋" w:eastAsia="仿宋" w:hAnsi="仿宋" w:hint="eastAsia"/>
          <w:szCs w:val="32"/>
        </w:rPr>
        <w:t>《中</w:t>
      </w:r>
      <w:r>
        <w:rPr>
          <w:rFonts w:ascii="仿宋" w:eastAsia="仿宋" w:hAnsi="仿宋"/>
          <w:szCs w:val="32"/>
        </w:rPr>
        <w:t>共中央</w:t>
      </w:r>
      <w:r>
        <w:rPr>
          <w:rFonts w:ascii="仿宋" w:eastAsia="仿宋" w:hAnsi="仿宋" w:hint="eastAsia"/>
          <w:szCs w:val="32"/>
        </w:rPr>
        <w:t>办</w:t>
      </w:r>
      <w:r>
        <w:rPr>
          <w:rFonts w:ascii="仿宋" w:eastAsia="仿宋" w:hAnsi="仿宋"/>
          <w:szCs w:val="32"/>
        </w:rPr>
        <w:t>公厅</w:t>
      </w:r>
      <w:r>
        <w:rPr>
          <w:rFonts w:ascii="仿宋" w:eastAsia="仿宋" w:hAnsi="仿宋" w:hint="eastAsia"/>
          <w:szCs w:val="32"/>
        </w:rPr>
        <w:t>、国务</w:t>
      </w:r>
      <w:r>
        <w:rPr>
          <w:rFonts w:ascii="仿宋" w:eastAsia="仿宋" w:hAnsi="仿宋"/>
          <w:szCs w:val="32"/>
        </w:rPr>
        <w:t>院办公厅印发</w:t>
      </w:r>
      <w:r>
        <w:rPr>
          <w:rFonts w:ascii="仿宋" w:eastAsia="仿宋" w:hAnsi="仿宋" w:hint="eastAsia"/>
          <w:szCs w:val="32"/>
        </w:rPr>
        <w:t>〈关</w:t>
      </w:r>
      <w:r>
        <w:rPr>
          <w:rFonts w:ascii="仿宋" w:eastAsia="仿宋" w:hAnsi="仿宋"/>
          <w:szCs w:val="32"/>
        </w:rPr>
        <w:t>于完善矛盾纠纷多元化解机制的意见</w:t>
      </w:r>
      <w:r>
        <w:rPr>
          <w:rFonts w:ascii="仿宋" w:eastAsia="仿宋" w:hAnsi="仿宋" w:hint="eastAsia"/>
          <w:szCs w:val="32"/>
        </w:rPr>
        <w:t>〉的</w:t>
      </w:r>
      <w:r>
        <w:rPr>
          <w:rFonts w:ascii="仿宋" w:eastAsia="仿宋" w:hAnsi="仿宋"/>
          <w:szCs w:val="32"/>
        </w:rPr>
        <w:t>通知</w:t>
      </w:r>
      <w:r>
        <w:rPr>
          <w:rFonts w:ascii="仿宋" w:eastAsia="仿宋" w:hAnsi="仿宋" w:hint="eastAsia"/>
          <w:szCs w:val="32"/>
        </w:rPr>
        <w:t>》</w:t>
      </w:r>
      <w:r>
        <w:rPr>
          <w:rFonts w:ascii="仿宋" w:eastAsia="仿宋" w:hAnsi="仿宋"/>
          <w:szCs w:val="32"/>
        </w:rPr>
        <w:t>精神，加强诉讼与非诉讼纠纷解决方式的有效衔接，规范人民法院特邀调解工作，维护当事人合法权益，</w:t>
      </w:r>
      <w:r>
        <w:rPr>
          <w:rFonts w:ascii="仿宋" w:eastAsia="仿宋" w:hAnsi="仿宋" w:hint="eastAsia"/>
          <w:szCs w:val="32"/>
        </w:rPr>
        <w:t>根据《中华人民共和国民事诉讼法》《中华人民共和国人民调解法》《山东</w:t>
      </w:r>
      <w:r>
        <w:rPr>
          <w:rFonts w:ascii="仿宋" w:eastAsia="仿宋" w:hAnsi="仿宋"/>
          <w:szCs w:val="32"/>
        </w:rPr>
        <w:t>省多元化</w:t>
      </w:r>
      <w:r>
        <w:rPr>
          <w:rFonts w:ascii="仿宋" w:eastAsia="仿宋" w:hAnsi="仿宋" w:hint="eastAsia"/>
          <w:szCs w:val="32"/>
        </w:rPr>
        <w:t>解</w:t>
      </w:r>
      <w:r>
        <w:rPr>
          <w:rFonts w:ascii="仿宋" w:eastAsia="仿宋" w:hAnsi="仿宋"/>
          <w:szCs w:val="32"/>
        </w:rPr>
        <w:t>纠纷促进条例</w:t>
      </w:r>
      <w:r>
        <w:rPr>
          <w:rFonts w:ascii="仿宋" w:eastAsia="仿宋" w:hAnsi="仿宋" w:hint="eastAsia"/>
          <w:szCs w:val="32"/>
        </w:rPr>
        <w:t>》等相关规定，济南市中级人民法院</w:t>
      </w:r>
      <w:r>
        <w:rPr>
          <w:rFonts w:ascii="仿宋" w:eastAsia="仿宋" w:hAnsi="仿宋"/>
          <w:szCs w:val="32"/>
        </w:rPr>
        <w:t>与</w:t>
      </w:r>
      <w:r>
        <w:rPr>
          <w:rFonts w:ascii="仿宋" w:eastAsia="仿宋" w:hAnsi="仿宋" w:hint="eastAsia"/>
          <w:szCs w:val="32"/>
        </w:rPr>
        <w:t>特邀调解组织在认真</w:t>
      </w:r>
      <w:r>
        <w:rPr>
          <w:rFonts w:ascii="仿宋" w:eastAsia="仿宋" w:hAnsi="仿宋"/>
          <w:szCs w:val="32"/>
        </w:rPr>
        <w:t>调研，深入沟通的基础上</w:t>
      </w:r>
      <w:r>
        <w:rPr>
          <w:rFonts w:ascii="仿宋" w:eastAsia="仿宋" w:hAnsi="仿宋" w:hint="eastAsia"/>
          <w:szCs w:val="32"/>
        </w:rPr>
        <w:t>，</w:t>
      </w:r>
      <w:proofErr w:type="gramStart"/>
      <w:r>
        <w:rPr>
          <w:rFonts w:ascii="仿宋" w:eastAsia="仿宋" w:hAnsi="仿宋" w:hint="eastAsia"/>
          <w:szCs w:val="32"/>
        </w:rPr>
        <w:t>就</w:t>
      </w:r>
      <w:r>
        <w:rPr>
          <w:rFonts w:ascii="仿宋" w:eastAsia="仿宋" w:hAnsi="仿宋"/>
          <w:szCs w:val="32"/>
        </w:rPr>
        <w:t>诉调对接</w:t>
      </w:r>
      <w:proofErr w:type="gramEnd"/>
      <w:r>
        <w:rPr>
          <w:rFonts w:ascii="仿宋" w:eastAsia="仿宋" w:hAnsi="仿宋"/>
          <w:szCs w:val="32"/>
        </w:rPr>
        <w:t>工作机制，</w:t>
      </w:r>
      <w:r>
        <w:rPr>
          <w:rFonts w:ascii="仿宋" w:eastAsia="仿宋" w:hAnsi="仿宋" w:hint="eastAsia"/>
          <w:szCs w:val="32"/>
        </w:rPr>
        <w:t>共同</w:t>
      </w:r>
      <w:r>
        <w:rPr>
          <w:rFonts w:ascii="仿宋" w:eastAsia="仿宋" w:hAnsi="仿宋"/>
          <w:szCs w:val="32"/>
        </w:rPr>
        <w:t>制定</w:t>
      </w:r>
      <w:r>
        <w:rPr>
          <w:rFonts w:ascii="仿宋" w:eastAsia="仿宋" w:hAnsi="仿宋" w:hint="eastAsia"/>
          <w:szCs w:val="32"/>
        </w:rPr>
        <w:t>本实施</w:t>
      </w:r>
      <w:r>
        <w:rPr>
          <w:rFonts w:ascii="仿宋" w:eastAsia="仿宋" w:hAnsi="仿宋"/>
          <w:szCs w:val="32"/>
        </w:rPr>
        <w:t>意见</w:t>
      </w:r>
      <w:r>
        <w:rPr>
          <w:rFonts w:ascii="仿宋" w:eastAsia="仿宋" w:hAnsi="仿宋" w:hint="eastAsia"/>
          <w:szCs w:val="32"/>
        </w:rPr>
        <w:t>。</w:t>
      </w:r>
    </w:p>
    <w:p w:rsidR="00A9072A" w:rsidRDefault="00A9072A" w:rsidP="00A9072A">
      <w:pPr>
        <w:spacing w:line="520" w:lineRule="exact"/>
        <w:ind w:firstLineChars="200" w:firstLine="624"/>
        <w:rPr>
          <w:rFonts w:ascii="黑体" w:eastAsia="黑体" w:hAnsi="黑体"/>
          <w:szCs w:val="32"/>
        </w:rPr>
      </w:pPr>
      <w:r>
        <w:rPr>
          <w:rFonts w:ascii="黑体" w:eastAsia="黑体" w:hAnsi="黑体" w:hint="eastAsia"/>
          <w:szCs w:val="32"/>
        </w:rPr>
        <w:t>第一条</w:t>
      </w:r>
      <w:r>
        <w:rPr>
          <w:rFonts w:ascii="黑体" w:eastAsia="黑体" w:hAnsi="黑体"/>
          <w:szCs w:val="32"/>
        </w:rPr>
        <w:t xml:space="preserve">  </w:t>
      </w:r>
      <w:proofErr w:type="gramStart"/>
      <w:r>
        <w:rPr>
          <w:rFonts w:ascii="仿宋" w:eastAsia="仿宋" w:hAnsi="仿宋"/>
          <w:szCs w:val="32"/>
        </w:rPr>
        <w:t>诉调对接</w:t>
      </w:r>
      <w:proofErr w:type="gramEnd"/>
      <w:r>
        <w:rPr>
          <w:rFonts w:ascii="仿宋" w:eastAsia="仿宋" w:hAnsi="仿宋"/>
          <w:szCs w:val="32"/>
        </w:rPr>
        <w:t>工作</w:t>
      </w:r>
      <w:r>
        <w:rPr>
          <w:rFonts w:ascii="仿宋_GB2312" w:cs="仿宋_GB2312" w:hint="eastAsia"/>
          <w:kern w:val="0"/>
          <w:szCs w:val="32"/>
        </w:rPr>
        <w:t>应当遵循自愿合法、调解优先、</w:t>
      </w:r>
    </w:p>
    <w:p w:rsidR="00A9072A" w:rsidRDefault="00A9072A" w:rsidP="00A9072A">
      <w:pPr>
        <w:autoSpaceDE w:val="0"/>
        <w:autoSpaceDN w:val="0"/>
        <w:adjustRightInd w:val="0"/>
        <w:spacing w:line="520" w:lineRule="exact"/>
        <w:jc w:val="left"/>
        <w:rPr>
          <w:rFonts w:ascii="仿宋_GB2312" w:cs="仿宋_GB2312"/>
          <w:kern w:val="0"/>
          <w:szCs w:val="32"/>
        </w:rPr>
      </w:pPr>
      <w:r>
        <w:rPr>
          <w:rFonts w:ascii="仿宋_GB2312" w:cs="仿宋_GB2312" w:hint="eastAsia"/>
          <w:kern w:val="0"/>
          <w:szCs w:val="32"/>
        </w:rPr>
        <w:t>诚实信用、便捷高效、规范有序的原则。</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第二条</w:t>
      </w:r>
      <w:r>
        <w:rPr>
          <w:rFonts w:ascii="黑体" w:eastAsia="黑体" w:hAnsi="黑体"/>
          <w:szCs w:val="32"/>
        </w:rPr>
        <w:t xml:space="preserve">  </w:t>
      </w:r>
      <w:r>
        <w:rPr>
          <w:rFonts w:ascii="仿宋" w:eastAsia="仿宋" w:hAnsi="仿宋"/>
          <w:szCs w:val="32"/>
        </w:rPr>
        <w:t>人民法院应当</w:t>
      </w:r>
      <w:proofErr w:type="gramStart"/>
      <w:r>
        <w:rPr>
          <w:rFonts w:ascii="仿宋" w:eastAsia="仿宋" w:hAnsi="仿宋"/>
          <w:szCs w:val="32"/>
        </w:rPr>
        <w:t>指定</w:t>
      </w:r>
      <w:r>
        <w:rPr>
          <w:rFonts w:ascii="仿宋" w:eastAsia="仿宋" w:hAnsi="仿宋" w:hint="eastAsia"/>
          <w:szCs w:val="32"/>
        </w:rPr>
        <w:t>诉调对接</w:t>
      </w:r>
      <w:proofErr w:type="gramEnd"/>
      <w:r>
        <w:rPr>
          <w:rFonts w:ascii="仿宋" w:eastAsia="仿宋" w:hAnsi="仿宋"/>
          <w:szCs w:val="32"/>
        </w:rPr>
        <w:t>中心等部门具体负责指导特邀调解工作，并配备熟悉调解业务的工作人员。</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第三条</w:t>
      </w:r>
      <w:r>
        <w:rPr>
          <w:rFonts w:ascii="黑体" w:eastAsia="黑体" w:hAnsi="黑体"/>
          <w:szCs w:val="32"/>
        </w:rPr>
        <w:t xml:space="preserve">  </w:t>
      </w:r>
      <w:r>
        <w:rPr>
          <w:rFonts w:ascii="仿宋_GB2312" w:cs="仿宋_GB2312"/>
          <w:kern w:val="0"/>
          <w:szCs w:val="32"/>
        </w:rPr>
        <w:t>特邀调解组织应当推荐本组织中适合从事特邀调解工作的调解</w:t>
      </w:r>
      <w:proofErr w:type="gramStart"/>
      <w:r>
        <w:rPr>
          <w:rFonts w:ascii="仿宋_GB2312" w:cs="仿宋_GB2312"/>
          <w:kern w:val="0"/>
          <w:szCs w:val="32"/>
        </w:rPr>
        <w:t>员加入</w:t>
      </w:r>
      <w:proofErr w:type="gramEnd"/>
      <w:r>
        <w:rPr>
          <w:rFonts w:ascii="仿宋" w:eastAsia="仿宋" w:hAnsi="仿宋"/>
          <w:szCs w:val="32"/>
        </w:rPr>
        <w:t>特</w:t>
      </w:r>
      <w:r>
        <w:rPr>
          <w:rFonts w:ascii="仿宋_GB2312" w:cs="仿宋_GB2312"/>
          <w:kern w:val="0"/>
          <w:szCs w:val="32"/>
        </w:rPr>
        <w:t>邀调解员名册，并在名册中列明；在名册中列明的调解员，视为人民法院特邀调解员。</w:t>
      </w:r>
    </w:p>
    <w:p w:rsidR="00A9072A" w:rsidRDefault="00A9072A" w:rsidP="00A9072A">
      <w:pPr>
        <w:spacing w:line="520" w:lineRule="exact"/>
        <w:ind w:firstLineChars="200" w:firstLine="624"/>
        <w:rPr>
          <w:rFonts w:ascii="仿宋_GB2312" w:cs="仿宋_GB2312" w:hint="eastAsia"/>
          <w:kern w:val="0"/>
          <w:szCs w:val="32"/>
        </w:rPr>
      </w:pPr>
      <w:r>
        <w:rPr>
          <w:rFonts w:ascii="仿宋" w:eastAsia="仿宋" w:hAnsi="仿宋"/>
          <w:szCs w:val="32"/>
        </w:rPr>
        <w:t>特邀调解员在入册前和</w:t>
      </w:r>
      <w:r>
        <w:rPr>
          <w:rFonts w:ascii="仿宋" w:eastAsia="仿宋" w:hAnsi="仿宋" w:hint="eastAsia"/>
          <w:szCs w:val="32"/>
        </w:rPr>
        <w:t>工作</w:t>
      </w:r>
      <w:r>
        <w:rPr>
          <w:rFonts w:ascii="仿宋" w:eastAsia="仿宋" w:hAnsi="仿宋"/>
          <w:szCs w:val="32"/>
        </w:rPr>
        <w:t>期间，应当接受人民法院组织的业务培训。</w:t>
      </w:r>
    </w:p>
    <w:p w:rsidR="00A9072A" w:rsidRDefault="00A9072A" w:rsidP="00A9072A">
      <w:pPr>
        <w:spacing w:line="520" w:lineRule="exact"/>
        <w:ind w:firstLineChars="200" w:firstLine="624"/>
        <w:rPr>
          <w:sz w:val="20"/>
          <w:szCs w:val="20"/>
        </w:rPr>
      </w:pPr>
      <w:r>
        <w:rPr>
          <w:rFonts w:ascii="黑体" w:eastAsia="黑体" w:hAnsi="黑体" w:hint="eastAsia"/>
          <w:szCs w:val="32"/>
        </w:rPr>
        <w:t xml:space="preserve">第四条  </w:t>
      </w:r>
      <w:r>
        <w:rPr>
          <w:rFonts w:ascii="仿宋" w:eastAsia="仿宋" w:hAnsi="仿宋"/>
          <w:szCs w:val="32"/>
        </w:rPr>
        <w:t>特邀调解一般由一名调解员进行。对于重大、疑难、复杂或者当事人要求由两名以上调解员共同调解的案件，可以由两名以上调解员调解，并由特邀调解组织或者人民法院指定一名调解员主持。当事人有正当理由的，可以申请更换特邀调解员。</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lastRenderedPageBreak/>
        <w:t>第五条</w:t>
      </w:r>
      <w:r>
        <w:rPr>
          <w:rFonts w:ascii="黑体" w:eastAsia="黑体" w:hAnsi="黑体"/>
          <w:szCs w:val="32"/>
        </w:rPr>
        <w:t xml:space="preserve">  </w:t>
      </w:r>
      <w:r>
        <w:rPr>
          <w:rFonts w:ascii="仿宋" w:eastAsia="仿宋" w:hAnsi="仿宋"/>
          <w:szCs w:val="32"/>
        </w:rPr>
        <w:t>调解一般应当在人民法院或者调解组织所在地进行，双方当事人也可以在征得人民法院同意的情况下选择其他地点进行调解。</w:t>
      </w:r>
    </w:p>
    <w:p w:rsidR="00A9072A" w:rsidRDefault="00A9072A" w:rsidP="00A9072A">
      <w:pPr>
        <w:spacing w:line="520" w:lineRule="exact"/>
        <w:ind w:firstLineChars="200" w:firstLine="624"/>
        <w:rPr>
          <w:rFonts w:ascii="仿宋" w:eastAsia="仿宋" w:hAnsi="仿宋" w:hint="eastAsia"/>
          <w:szCs w:val="32"/>
        </w:rPr>
      </w:pPr>
      <w:r>
        <w:rPr>
          <w:rFonts w:ascii="黑体" w:eastAsia="黑体" w:hAnsi="黑体" w:hint="eastAsia"/>
          <w:szCs w:val="32"/>
        </w:rPr>
        <w:t>第六条</w:t>
      </w:r>
      <w:r>
        <w:rPr>
          <w:rFonts w:ascii="黑体" w:eastAsia="黑体" w:hAnsi="黑体"/>
          <w:szCs w:val="32"/>
        </w:rPr>
        <w:t xml:space="preserve">  </w:t>
      </w:r>
      <w:r>
        <w:rPr>
          <w:rFonts w:ascii="仿宋" w:eastAsia="仿宋" w:hAnsi="仿宋" w:hint="eastAsia"/>
          <w:szCs w:val="32"/>
        </w:rPr>
        <w:t>调解案件材料以电子形式的扫描件、照片等在线移交为原则，纸质等实物材料交接为补充。</w:t>
      </w:r>
    </w:p>
    <w:p w:rsidR="00A9072A" w:rsidRDefault="00A9072A" w:rsidP="00A9072A">
      <w:pPr>
        <w:spacing w:line="520" w:lineRule="exact"/>
        <w:ind w:firstLineChars="200" w:firstLine="624"/>
        <w:rPr>
          <w:rFonts w:ascii="仿宋_GB2312" w:cs="仿宋_GB2312"/>
          <w:kern w:val="0"/>
          <w:szCs w:val="32"/>
        </w:rPr>
      </w:pPr>
      <w:r>
        <w:rPr>
          <w:rFonts w:ascii="黑体" w:eastAsia="黑体" w:hAnsi="黑体" w:hint="eastAsia"/>
          <w:szCs w:val="32"/>
        </w:rPr>
        <w:t>第七条</w:t>
      </w:r>
      <w:r>
        <w:rPr>
          <w:rFonts w:ascii="黑体" w:eastAsia="黑体" w:hAnsi="黑体"/>
          <w:szCs w:val="32"/>
        </w:rPr>
        <w:t xml:space="preserve">  </w:t>
      </w:r>
      <w:r>
        <w:rPr>
          <w:rFonts w:ascii="仿宋_GB2312" w:cs="仿宋_GB2312" w:hint="eastAsia"/>
          <w:kern w:val="0"/>
          <w:szCs w:val="32"/>
        </w:rPr>
        <w:t>对进入调解程序的纠纷，人民法院应当及时将委派或</w:t>
      </w:r>
      <w:r>
        <w:rPr>
          <w:rFonts w:ascii="仿宋_GB2312" w:cs="仿宋_GB2312"/>
          <w:kern w:val="0"/>
          <w:szCs w:val="32"/>
        </w:rPr>
        <w:t>委托</w:t>
      </w:r>
      <w:r>
        <w:rPr>
          <w:rFonts w:ascii="仿宋_GB2312" w:cs="仿宋_GB2312" w:hint="eastAsia"/>
          <w:kern w:val="0"/>
          <w:szCs w:val="32"/>
        </w:rPr>
        <w:t>手续、诉状副本和证据等案件材料移交相关调解组织。</w:t>
      </w:r>
    </w:p>
    <w:p w:rsidR="00A9072A" w:rsidRDefault="00A9072A" w:rsidP="00A9072A">
      <w:pPr>
        <w:spacing w:line="520" w:lineRule="exact"/>
        <w:ind w:firstLineChars="200" w:firstLine="624"/>
        <w:rPr>
          <w:rFonts w:ascii="仿宋_GB2312" w:cs="仿宋_GB2312" w:hint="eastAsia"/>
          <w:kern w:val="0"/>
          <w:szCs w:val="32"/>
        </w:rPr>
      </w:pPr>
      <w:r>
        <w:rPr>
          <w:rFonts w:ascii="黑体" w:eastAsia="黑体" w:hAnsi="黑体" w:hint="eastAsia"/>
          <w:szCs w:val="32"/>
        </w:rPr>
        <w:t>第八条</w:t>
      </w:r>
      <w:r>
        <w:rPr>
          <w:rFonts w:ascii="黑体" w:eastAsia="黑体" w:hAnsi="黑体"/>
          <w:szCs w:val="32"/>
        </w:rPr>
        <w:t xml:space="preserve">  </w:t>
      </w:r>
      <w:r>
        <w:rPr>
          <w:rFonts w:ascii="仿宋" w:eastAsia="仿宋" w:hAnsi="仿宋" w:hint="eastAsia"/>
          <w:szCs w:val="32"/>
        </w:rPr>
        <w:t>调解组织</w:t>
      </w:r>
      <w:r>
        <w:rPr>
          <w:rFonts w:ascii="仿宋_GB2312" w:cs="仿宋_GB2312" w:hint="eastAsia"/>
          <w:kern w:val="0"/>
          <w:szCs w:val="32"/>
        </w:rPr>
        <w:t>收到案件材料后，应当向相关当事人发送《调解通知书》、诉状副本和证据复印件，</w:t>
      </w:r>
      <w:r>
        <w:rPr>
          <w:rFonts w:ascii="仿宋" w:eastAsia="仿宋" w:hAnsi="仿宋" w:hint="eastAsia"/>
          <w:szCs w:val="32"/>
        </w:rPr>
        <w:t>将调解时间、地点等相关事项及时通知双方当事人，也可以通知与纠纷有</w:t>
      </w:r>
      <w:r>
        <w:rPr>
          <w:rFonts w:ascii="仿宋_GB2312" w:cs="仿宋_GB2312" w:hint="eastAsia"/>
          <w:kern w:val="0"/>
          <w:szCs w:val="32"/>
        </w:rPr>
        <w:t>利害关系的案外人参加调解。</w:t>
      </w:r>
    </w:p>
    <w:p w:rsidR="00A9072A" w:rsidRDefault="00A9072A" w:rsidP="00A9072A">
      <w:pPr>
        <w:spacing w:line="520" w:lineRule="exact"/>
        <w:ind w:firstLineChars="200" w:firstLine="624"/>
        <w:rPr>
          <w:rFonts w:ascii="仿宋_GB2312" w:cs="仿宋_GB2312"/>
          <w:kern w:val="0"/>
          <w:szCs w:val="32"/>
        </w:rPr>
      </w:pPr>
      <w:r>
        <w:rPr>
          <w:rFonts w:ascii="仿宋_GB2312" w:cs="仿宋_GB2312"/>
          <w:kern w:val="0"/>
          <w:szCs w:val="32"/>
        </w:rPr>
        <w:t>调解程序开始之前，特邀调解员应当告知双方当事人权利义务、调解规则、调解程序、调解协议效力、司法确认申请等事项。</w:t>
      </w:r>
    </w:p>
    <w:p w:rsidR="00A9072A" w:rsidRDefault="00A9072A" w:rsidP="00A9072A">
      <w:pPr>
        <w:spacing w:line="520" w:lineRule="exact"/>
        <w:ind w:firstLineChars="200" w:firstLine="624"/>
        <w:rPr>
          <w:rFonts w:ascii="仿宋" w:eastAsia="仿宋" w:hAnsi="仿宋" w:hint="eastAsia"/>
          <w:szCs w:val="32"/>
        </w:rPr>
      </w:pPr>
      <w:r>
        <w:rPr>
          <w:rFonts w:ascii="黑体" w:eastAsia="黑体" w:hAnsi="黑体" w:hint="eastAsia"/>
          <w:szCs w:val="32"/>
        </w:rPr>
        <w:t>第九条</w:t>
      </w:r>
      <w:r>
        <w:rPr>
          <w:rFonts w:ascii="黑体" w:eastAsia="黑体" w:hAnsi="黑体"/>
          <w:szCs w:val="32"/>
        </w:rPr>
        <w:t xml:space="preserve">  </w:t>
      </w:r>
      <w:r>
        <w:rPr>
          <w:rFonts w:ascii="仿宋_GB2312" w:cs="仿宋_GB2312"/>
          <w:kern w:val="0"/>
          <w:szCs w:val="32"/>
        </w:rPr>
        <w:t>特邀调解员有下列情形之一的，当事人有权申请回避：</w:t>
      </w:r>
      <w:r>
        <w:rPr>
          <w:rFonts w:ascii="仿宋_GB2312" w:cs="仿宋_GB2312"/>
          <w:kern w:val="0"/>
          <w:szCs w:val="32"/>
        </w:rPr>
        <w:br/>
      </w:r>
      <w:r>
        <w:rPr>
          <w:rFonts w:ascii="仿宋_GB2312" w:cs="仿宋_GB2312" w:hint="eastAsia"/>
          <w:kern w:val="0"/>
          <w:szCs w:val="32"/>
        </w:rPr>
        <w:t xml:space="preserve">    </w:t>
      </w:r>
      <w:r>
        <w:rPr>
          <w:rFonts w:ascii="仿宋_GB2312" w:cs="仿宋_GB2312"/>
          <w:kern w:val="0"/>
          <w:szCs w:val="32"/>
        </w:rPr>
        <w:t>（一）是一方当事人或者其代理人近亲属的；</w:t>
      </w:r>
      <w:r>
        <w:rPr>
          <w:rFonts w:ascii="仿宋_GB2312" w:cs="仿宋_GB2312"/>
          <w:kern w:val="0"/>
          <w:szCs w:val="32"/>
        </w:rPr>
        <w:br/>
      </w:r>
      <w:r>
        <w:rPr>
          <w:rFonts w:ascii="仿宋_GB2312" w:cs="仿宋_GB2312" w:hint="eastAsia"/>
          <w:kern w:val="0"/>
          <w:szCs w:val="32"/>
        </w:rPr>
        <w:t xml:space="preserve">    </w:t>
      </w:r>
      <w:r>
        <w:rPr>
          <w:rFonts w:ascii="仿宋_GB2312" w:cs="仿宋_GB2312"/>
          <w:kern w:val="0"/>
          <w:szCs w:val="32"/>
        </w:rPr>
        <w:t>（二）与纠纷有利害关系的；</w:t>
      </w:r>
      <w:r>
        <w:rPr>
          <w:rFonts w:ascii="仿宋_GB2312" w:cs="仿宋_GB2312"/>
          <w:kern w:val="0"/>
          <w:szCs w:val="32"/>
        </w:rPr>
        <w:br/>
      </w:r>
      <w:r>
        <w:rPr>
          <w:rFonts w:ascii="仿宋_GB2312" w:cs="仿宋_GB2312" w:hint="eastAsia"/>
          <w:kern w:val="0"/>
          <w:szCs w:val="32"/>
        </w:rPr>
        <w:t xml:space="preserve">    </w:t>
      </w:r>
      <w:r>
        <w:rPr>
          <w:rFonts w:ascii="仿宋_GB2312" w:cs="仿宋_GB2312"/>
          <w:kern w:val="0"/>
          <w:szCs w:val="32"/>
        </w:rPr>
        <w:t>（三）与纠纷当事人、代理人有其他关系，可能影响公正调解的。</w:t>
      </w:r>
      <w:r>
        <w:rPr>
          <w:rFonts w:ascii="仿宋_GB2312" w:cs="仿宋_GB2312"/>
          <w:kern w:val="0"/>
          <w:szCs w:val="32"/>
        </w:rPr>
        <w:br/>
      </w:r>
      <w:r>
        <w:rPr>
          <w:rFonts w:ascii="仿宋_GB2312" w:cs="仿宋_GB2312" w:hint="eastAsia"/>
          <w:kern w:val="0"/>
          <w:szCs w:val="32"/>
        </w:rPr>
        <w:t xml:space="preserve">    </w:t>
      </w:r>
      <w:r>
        <w:rPr>
          <w:rFonts w:ascii="仿宋_GB2312" w:cs="仿宋_GB2312"/>
          <w:kern w:val="0"/>
          <w:szCs w:val="32"/>
        </w:rPr>
        <w:t>特邀调解员有上述情形的，应当自行回避；但是双方当事人同意由该调解员调解的除外。</w:t>
      </w:r>
      <w:r>
        <w:rPr>
          <w:rFonts w:ascii="仿宋_GB2312" w:cs="仿宋_GB2312"/>
          <w:kern w:val="0"/>
          <w:szCs w:val="32"/>
        </w:rPr>
        <w:br/>
      </w:r>
      <w:r>
        <w:rPr>
          <w:rFonts w:ascii="仿宋_GB2312" w:cs="仿宋_GB2312" w:hint="eastAsia"/>
          <w:kern w:val="0"/>
          <w:szCs w:val="32"/>
        </w:rPr>
        <w:t xml:space="preserve">    </w:t>
      </w:r>
      <w:bookmarkStart w:id="0" w:name="_GoBack"/>
      <w:bookmarkEnd w:id="0"/>
      <w:r>
        <w:rPr>
          <w:rFonts w:ascii="仿宋_GB2312" w:cs="仿宋_GB2312"/>
          <w:kern w:val="0"/>
          <w:szCs w:val="32"/>
        </w:rPr>
        <w:t>特邀调解员的回避由特邀调解组织或者人民法院决定。</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第十条</w:t>
      </w:r>
      <w:r>
        <w:rPr>
          <w:rFonts w:ascii="黑体" w:eastAsia="黑体" w:hAnsi="黑体"/>
          <w:szCs w:val="32"/>
        </w:rPr>
        <w:t xml:space="preserve">  </w:t>
      </w:r>
      <w:r>
        <w:rPr>
          <w:rFonts w:ascii="仿宋" w:eastAsia="仿宋" w:hAnsi="仿宋"/>
          <w:szCs w:val="32"/>
        </w:rPr>
        <w:t>特邀</w:t>
      </w:r>
      <w:r>
        <w:rPr>
          <w:rFonts w:ascii="仿宋" w:eastAsia="仿宋" w:hAnsi="仿宋" w:hint="eastAsia"/>
          <w:szCs w:val="32"/>
        </w:rPr>
        <w:t>调解员在调解过程中应当制作调查、调解等笔录，固定当事人的诉求、事实证据，做好无争议事实记载，在当</w:t>
      </w:r>
      <w:r>
        <w:rPr>
          <w:rFonts w:ascii="仿宋" w:eastAsia="仿宋" w:hAnsi="仿宋" w:hint="eastAsia"/>
          <w:szCs w:val="32"/>
        </w:rPr>
        <w:lastRenderedPageBreak/>
        <w:t>事人平等协商、互谅互让的基础上提出纠纷解决方案，力争促成当事人自愿达成调解协议。</w:t>
      </w:r>
    </w:p>
    <w:p w:rsidR="00A9072A" w:rsidRDefault="00A9072A" w:rsidP="00A9072A">
      <w:pPr>
        <w:spacing w:line="520" w:lineRule="exact"/>
        <w:ind w:firstLineChars="200" w:firstLine="624"/>
        <w:rPr>
          <w:rFonts w:ascii="仿宋" w:eastAsia="仿宋" w:hAnsi="仿宋" w:hint="eastAsia"/>
          <w:szCs w:val="32"/>
        </w:rPr>
      </w:pPr>
      <w:r>
        <w:rPr>
          <w:rFonts w:ascii="黑体" w:eastAsia="黑体" w:hAnsi="黑体" w:hint="eastAsia"/>
          <w:szCs w:val="32"/>
        </w:rPr>
        <w:t>第十</w:t>
      </w:r>
      <w:r>
        <w:rPr>
          <w:rFonts w:ascii="黑体" w:eastAsia="黑体" w:hAnsi="黑体"/>
          <w:szCs w:val="32"/>
        </w:rPr>
        <w:t>一</w:t>
      </w:r>
      <w:r>
        <w:rPr>
          <w:rFonts w:ascii="黑体" w:eastAsia="黑体" w:hAnsi="黑体" w:hint="eastAsia"/>
          <w:szCs w:val="32"/>
        </w:rPr>
        <w:t>条</w:t>
      </w:r>
      <w:r>
        <w:rPr>
          <w:rFonts w:ascii="黑体" w:eastAsia="黑体" w:hAnsi="黑体"/>
          <w:szCs w:val="32"/>
        </w:rPr>
        <w:t xml:space="preserve">  </w:t>
      </w:r>
      <w:r>
        <w:rPr>
          <w:rFonts w:ascii="仿宋" w:eastAsia="仿宋" w:hAnsi="仿宋"/>
          <w:szCs w:val="32"/>
        </w:rPr>
        <w:t>特邀调解员发现双方当事人存在虚假调解可能的，应当中止调解，并向人民法院或者特邀调解组织报告。</w:t>
      </w:r>
      <w:r>
        <w:rPr>
          <w:rFonts w:ascii="仿宋" w:eastAsia="仿宋" w:hAnsi="仿宋"/>
          <w:szCs w:val="32"/>
        </w:rPr>
        <w:br/>
        <w:t xml:space="preserve">　　人民法院或者特邀调解组织接到报告后，应当及时审查，并依据相关规定</w:t>
      </w:r>
      <w:proofErr w:type="gramStart"/>
      <w:r>
        <w:rPr>
          <w:rFonts w:ascii="仿宋" w:eastAsia="仿宋" w:hAnsi="仿宋"/>
          <w:szCs w:val="32"/>
        </w:rPr>
        <w:t>作出</w:t>
      </w:r>
      <w:proofErr w:type="gramEnd"/>
      <w:r>
        <w:rPr>
          <w:rFonts w:ascii="仿宋" w:eastAsia="仿宋" w:hAnsi="仿宋"/>
          <w:szCs w:val="32"/>
        </w:rPr>
        <w:t>处理。</w:t>
      </w:r>
    </w:p>
    <w:p w:rsidR="00A9072A" w:rsidRDefault="00A9072A" w:rsidP="00A9072A">
      <w:pPr>
        <w:spacing w:line="520" w:lineRule="exact"/>
        <w:ind w:firstLineChars="200" w:firstLine="624"/>
        <w:rPr>
          <w:rFonts w:ascii="黑体" w:eastAsia="黑体" w:hAnsi="黑体"/>
          <w:szCs w:val="32"/>
        </w:rPr>
      </w:pPr>
      <w:r>
        <w:rPr>
          <w:rFonts w:ascii="黑体" w:eastAsia="黑体" w:hAnsi="黑体" w:hint="eastAsia"/>
          <w:szCs w:val="32"/>
        </w:rPr>
        <w:t>第十</w:t>
      </w:r>
      <w:r>
        <w:rPr>
          <w:rFonts w:ascii="黑体" w:eastAsia="黑体" w:hAnsi="黑体"/>
          <w:szCs w:val="32"/>
        </w:rPr>
        <w:t>二</w:t>
      </w:r>
      <w:r>
        <w:rPr>
          <w:rFonts w:ascii="黑体" w:eastAsia="黑体" w:hAnsi="黑体" w:hint="eastAsia"/>
          <w:szCs w:val="32"/>
        </w:rPr>
        <w:t>条</w:t>
      </w:r>
      <w:r>
        <w:rPr>
          <w:rFonts w:ascii="黑体" w:eastAsia="黑体" w:hAnsi="黑体"/>
          <w:szCs w:val="32"/>
        </w:rPr>
        <w:t xml:space="preserve">  </w:t>
      </w:r>
      <w:r>
        <w:rPr>
          <w:rFonts w:ascii="仿宋" w:eastAsia="仿宋" w:hAnsi="仿宋" w:hint="eastAsia"/>
          <w:szCs w:val="32"/>
        </w:rPr>
        <w:t>经调解达成调解协议的，应当制作调解协议书。当事人认为无需制作调解协议书的，可以采取口头协议方式，特邀调解员应当记录协议内容。</w:t>
      </w:r>
    </w:p>
    <w:p w:rsidR="00A9072A" w:rsidRDefault="00A9072A" w:rsidP="00A9072A">
      <w:pPr>
        <w:spacing w:line="520" w:lineRule="exact"/>
        <w:ind w:leftChars="200" w:left="624"/>
        <w:rPr>
          <w:rFonts w:ascii="仿宋" w:eastAsia="仿宋" w:hAnsi="仿宋" w:hint="eastAsia"/>
          <w:szCs w:val="32"/>
        </w:rPr>
      </w:pPr>
      <w:r>
        <w:rPr>
          <w:rFonts w:ascii="仿宋" w:eastAsia="仿宋" w:hAnsi="仿宋"/>
          <w:szCs w:val="32"/>
        </w:rPr>
        <w:t>调解协议书应当记载以下内容：</w:t>
      </w:r>
      <w:r>
        <w:rPr>
          <w:rFonts w:ascii="仿宋" w:eastAsia="仿宋" w:hAnsi="仿宋"/>
          <w:szCs w:val="32"/>
        </w:rPr>
        <w:br/>
        <w:t>（一）当事人的基本情况；</w:t>
      </w:r>
    </w:p>
    <w:p w:rsidR="00A9072A" w:rsidRDefault="00A9072A" w:rsidP="00A9072A">
      <w:pPr>
        <w:spacing w:line="520" w:lineRule="exact"/>
        <w:ind w:leftChars="200" w:left="624"/>
        <w:rPr>
          <w:rFonts w:ascii="仿宋" w:eastAsia="仿宋" w:hAnsi="仿宋" w:hint="eastAsia"/>
          <w:szCs w:val="32"/>
        </w:rPr>
      </w:pPr>
      <w:r>
        <w:rPr>
          <w:rFonts w:ascii="仿宋" w:eastAsia="仿宋" w:hAnsi="仿宋"/>
          <w:szCs w:val="32"/>
        </w:rPr>
        <w:t>（二）纠纷的主要事实、争议事项；</w:t>
      </w:r>
    </w:p>
    <w:p w:rsidR="00A9072A" w:rsidRDefault="00A9072A" w:rsidP="00A9072A">
      <w:pPr>
        <w:spacing w:line="520" w:lineRule="exact"/>
        <w:ind w:leftChars="200" w:left="624"/>
        <w:rPr>
          <w:rFonts w:ascii="仿宋" w:eastAsia="仿宋" w:hAnsi="仿宋" w:hint="eastAsia"/>
          <w:szCs w:val="32"/>
        </w:rPr>
      </w:pPr>
      <w:r>
        <w:rPr>
          <w:rFonts w:ascii="仿宋" w:eastAsia="仿宋" w:hAnsi="仿宋"/>
          <w:szCs w:val="32"/>
        </w:rPr>
        <w:t>（三）调解结果。</w:t>
      </w:r>
    </w:p>
    <w:p w:rsidR="00A9072A" w:rsidRDefault="00A9072A" w:rsidP="00A9072A">
      <w:pPr>
        <w:spacing w:line="520" w:lineRule="exact"/>
        <w:ind w:firstLineChars="200" w:firstLine="624"/>
        <w:rPr>
          <w:rFonts w:ascii="仿宋" w:eastAsia="仿宋" w:hAnsi="仿宋" w:hint="eastAsia"/>
          <w:szCs w:val="32"/>
        </w:rPr>
      </w:pPr>
      <w:r>
        <w:rPr>
          <w:rFonts w:ascii="仿宋" w:eastAsia="仿宋" w:hAnsi="仿宋"/>
          <w:szCs w:val="32"/>
        </w:rPr>
        <w:t>双方当事人和特邀调解员应当在调解协议书或者调解笔录上签名、盖章或者捺印</w:t>
      </w:r>
      <w:r>
        <w:rPr>
          <w:rFonts w:ascii="仿宋" w:eastAsia="仿宋" w:hAnsi="仿宋" w:hint="eastAsia"/>
          <w:szCs w:val="32"/>
        </w:rPr>
        <w:t>，并</w:t>
      </w:r>
      <w:r>
        <w:rPr>
          <w:rFonts w:ascii="仿宋" w:eastAsia="仿宋" w:hAnsi="仿宋"/>
          <w:szCs w:val="32"/>
        </w:rPr>
        <w:t>加盖调解组织印章。</w:t>
      </w:r>
      <w:r>
        <w:rPr>
          <w:rFonts w:ascii="仿宋" w:eastAsia="仿宋" w:hAnsi="仿宋"/>
          <w:szCs w:val="32"/>
        </w:rPr>
        <w:br/>
      </w:r>
      <w:r>
        <w:rPr>
          <w:rFonts w:ascii="仿宋" w:eastAsia="仿宋" w:hAnsi="仿宋" w:hint="eastAsia"/>
          <w:szCs w:val="32"/>
        </w:rPr>
        <w:t xml:space="preserve">    </w:t>
      </w:r>
      <w:r>
        <w:rPr>
          <w:rFonts w:ascii="仿宋" w:eastAsia="仿宋" w:hAnsi="仿宋"/>
          <w:szCs w:val="32"/>
        </w:rPr>
        <w:t>委派调解达成调解协议，自双方当事人签名、盖章或者捺印后生效。委托调解达成调解协议，根据相关法律规定确定生效时间。</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第十</w:t>
      </w:r>
      <w:r>
        <w:rPr>
          <w:rFonts w:ascii="黑体" w:eastAsia="黑体" w:hAnsi="黑体"/>
          <w:szCs w:val="32"/>
        </w:rPr>
        <w:t>三</w:t>
      </w:r>
      <w:r>
        <w:rPr>
          <w:rFonts w:ascii="黑体" w:eastAsia="黑体" w:hAnsi="黑体" w:hint="eastAsia"/>
          <w:szCs w:val="32"/>
        </w:rPr>
        <w:t>条</w:t>
      </w:r>
      <w:r>
        <w:rPr>
          <w:rFonts w:ascii="黑体" w:eastAsia="黑体" w:hAnsi="黑体"/>
          <w:szCs w:val="32"/>
        </w:rPr>
        <w:t xml:space="preserve">  </w:t>
      </w:r>
      <w:r>
        <w:rPr>
          <w:rFonts w:ascii="仿宋" w:eastAsia="仿宋" w:hAnsi="仿宋" w:hint="eastAsia"/>
          <w:szCs w:val="32"/>
        </w:rPr>
        <w:t>调解终止的，特邀调解组织应当制作《委派/委托调解回复函》和《调解情况登记表》等材料，载明调解工作情况和结果。在调解期限届满前将全部案卷材料</w:t>
      </w:r>
      <w:proofErr w:type="gramStart"/>
      <w:r>
        <w:rPr>
          <w:rFonts w:ascii="仿宋" w:eastAsia="仿宋" w:hAnsi="仿宋" w:hint="eastAsia"/>
          <w:szCs w:val="32"/>
        </w:rPr>
        <w:t>移交诉调对接</w:t>
      </w:r>
      <w:proofErr w:type="gramEnd"/>
      <w:r>
        <w:rPr>
          <w:rFonts w:ascii="仿宋" w:eastAsia="仿宋" w:hAnsi="仿宋" w:hint="eastAsia"/>
          <w:szCs w:val="32"/>
        </w:rPr>
        <w:t>中心或</w:t>
      </w:r>
      <w:r>
        <w:rPr>
          <w:rFonts w:ascii="仿宋" w:eastAsia="仿宋" w:hAnsi="仿宋"/>
          <w:szCs w:val="32"/>
        </w:rPr>
        <w:t>承办法官</w:t>
      </w:r>
      <w:r>
        <w:rPr>
          <w:rFonts w:ascii="仿宋" w:eastAsia="仿宋" w:hAnsi="仿宋" w:hint="eastAsia"/>
          <w:szCs w:val="32"/>
        </w:rPr>
        <w:t xml:space="preserve">。因调解期限届满而终止调解的，应在调解期限届满后2 </w:t>
      </w:r>
      <w:proofErr w:type="gramStart"/>
      <w:r>
        <w:rPr>
          <w:rFonts w:ascii="仿宋" w:eastAsia="仿宋" w:hAnsi="仿宋" w:hint="eastAsia"/>
          <w:szCs w:val="32"/>
        </w:rPr>
        <w:t>个</w:t>
      </w:r>
      <w:proofErr w:type="gramEnd"/>
      <w:r>
        <w:rPr>
          <w:rFonts w:ascii="仿宋" w:eastAsia="仿宋" w:hAnsi="仿宋" w:hint="eastAsia"/>
          <w:szCs w:val="32"/>
        </w:rPr>
        <w:t>工作日内将全部案卷材料</w:t>
      </w:r>
      <w:proofErr w:type="gramStart"/>
      <w:r>
        <w:rPr>
          <w:rFonts w:ascii="仿宋" w:eastAsia="仿宋" w:hAnsi="仿宋" w:hint="eastAsia"/>
          <w:szCs w:val="32"/>
        </w:rPr>
        <w:t>移交诉调对接</w:t>
      </w:r>
      <w:proofErr w:type="gramEnd"/>
      <w:r>
        <w:rPr>
          <w:rFonts w:ascii="仿宋" w:eastAsia="仿宋" w:hAnsi="仿宋" w:hint="eastAsia"/>
          <w:szCs w:val="32"/>
        </w:rPr>
        <w:t>中心或</w:t>
      </w:r>
      <w:r>
        <w:rPr>
          <w:rFonts w:ascii="仿宋" w:eastAsia="仿宋" w:hAnsi="仿宋"/>
          <w:szCs w:val="32"/>
        </w:rPr>
        <w:t>承办法官</w:t>
      </w:r>
      <w:r>
        <w:rPr>
          <w:rFonts w:ascii="仿宋" w:eastAsia="仿宋" w:hAnsi="仿宋" w:hint="eastAsia"/>
          <w:szCs w:val="32"/>
        </w:rPr>
        <w:t>。</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第十四条</w:t>
      </w:r>
      <w:r>
        <w:rPr>
          <w:rFonts w:ascii="黑体" w:eastAsia="黑体" w:hAnsi="黑体"/>
          <w:szCs w:val="32"/>
        </w:rPr>
        <w:t xml:space="preserve">  </w:t>
      </w:r>
      <w:r>
        <w:rPr>
          <w:rFonts w:ascii="仿宋" w:eastAsia="仿宋" w:hAnsi="仿宋" w:hint="eastAsia"/>
          <w:szCs w:val="32"/>
        </w:rPr>
        <w:t>人民法院委派调解的案件，调解期限为30日；</w:t>
      </w:r>
      <w:r>
        <w:rPr>
          <w:rFonts w:ascii="仿宋" w:eastAsia="仿宋" w:hAnsi="仿宋" w:hint="eastAsia"/>
          <w:szCs w:val="32"/>
        </w:rPr>
        <w:lastRenderedPageBreak/>
        <w:t>人民法院委托调解的案件，适用普通程序的调解期限为15日，适用简易程序的调解期限为7日。双方当事人书面同意延长调解期限的，不受此限。调解期限自特邀调解组织接收法院移交材料之日起计算。</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第十</w:t>
      </w:r>
      <w:r>
        <w:rPr>
          <w:rFonts w:ascii="黑体" w:eastAsia="黑体" w:hAnsi="黑体"/>
          <w:szCs w:val="32"/>
        </w:rPr>
        <w:t>五</w:t>
      </w:r>
      <w:r>
        <w:rPr>
          <w:rFonts w:ascii="黑体" w:eastAsia="黑体" w:hAnsi="黑体" w:hint="eastAsia"/>
          <w:szCs w:val="32"/>
        </w:rPr>
        <w:t>条</w:t>
      </w:r>
      <w:r>
        <w:rPr>
          <w:rFonts w:ascii="黑体" w:eastAsia="黑体" w:hAnsi="黑体"/>
          <w:szCs w:val="32"/>
        </w:rPr>
        <w:t xml:space="preserve">  </w:t>
      </w:r>
      <w:r>
        <w:rPr>
          <w:rFonts w:ascii="仿宋" w:eastAsia="仿宋" w:hAnsi="仿宋" w:hint="eastAsia"/>
          <w:szCs w:val="32"/>
        </w:rPr>
        <w:t>调解</w:t>
      </w:r>
      <w:r>
        <w:rPr>
          <w:rFonts w:ascii="仿宋" w:eastAsia="仿宋" w:hAnsi="仿宋"/>
          <w:szCs w:val="32"/>
        </w:rPr>
        <w:t>组织</w:t>
      </w:r>
      <w:r>
        <w:rPr>
          <w:rFonts w:ascii="仿宋" w:eastAsia="仿宋" w:hAnsi="仿宋" w:hint="eastAsia"/>
          <w:szCs w:val="32"/>
        </w:rPr>
        <w:t>调解</w:t>
      </w:r>
      <w:r>
        <w:rPr>
          <w:rFonts w:ascii="仿宋" w:eastAsia="仿宋" w:hAnsi="仿宋"/>
          <w:szCs w:val="32"/>
        </w:rPr>
        <w:t>案件不收取任何费用。</w:t>
      </w:r>
    </w:p>
    <w:p w:rsidR="00A9072A" w:rsidRDefault="00A9072A" w:rsidP="00A9072A">
      <w:pPr>
        <w:spacing w:line="520" w:lineRule="exact"/>
        <w:ind w:leftChars="200" w:left="624"/>
        <w:rPr>
          <w:rFonts w:ascii="仿宋" w:eastAsia="仿宋" w:hAnsi="仿宋" w:hint="eastAsia"/>
          <w:szCs w:val="32"/>
        </w:rPr>
      </w:pPr>
      <w:r>
        <w:rPr>
          <w:rFonts w:ascii="黑体" w:eastAsia="黑体" w:hAnsi="黑体" w:hint="eastAsia"/>
          <w:szCs w:val="32"/>
        </w:rPr>
        <w:t>第十</w:t>
      </w:r>
      <w:r>
        <w:rPr>
          <w:rFonts w:ascii="黑体" w:eastAsia="黑体" w:hAnsi="黑体"/>
          <w:szCs w:val="32"/>
        </w:rPr>
        <w:t>六</w:t>
      </w:r>
      <w:r>
        <w:rPr>
          <w:rFonts w:ascii="黑体" w:eastAsia="黑体" w:hAnsi="黑体" w:hint="eastAsia"/>
          <w:szCs w:val="32"/>
        </w:rPr>
        <w:t>条</w:t>
      </w:r>
      <w:r>
        <w:rPr>
          <w:rFonts w:ascii="黑体" w:eastAsia="黑体" w:hAnsi="黑体"/>
          <w:szCs w:val="32"/>
        </w:rPr>
        <w:t xml:space="preserve">  </w:t>
      </w:r>
      <w:r>
        <w:rPr>
          <w:rFonts w:ascii="仿宋" w:eastAsia="仿宋" w:hAnsi="仿宋"/>
          <w:szCs w:val="32"/>
        </w:rPr>
        <w:t>特邀</w:t>
      </w:r>
      <w:r>
        <w:rPr>
          <w:rFonts w:ascii="仿宋" w:eastAsia="仿宋" w:hAnsi="仿宋" w:hint="eastAsia"/>
          <w:szCs w:val="32"/>
        </w:rPr>
        <w:t>调解组织</w:t>
      </w:r>
      <w:r>
        <w:rPr>
          <w:rFonts w:ascii="仿宋" w:eastAsia="仿宋" w:hAnsi="仿宋"/>
          <w:szCs w:val="32"/>
        </w:rPr>
        <w:t>和特邀调解员不得有下列行为：</w:t>
      </w:r>
      <w:r>
        <w:rPr>
          <w:rFonts w:ascii="仿宋" w:eastAsia="仿宋" w:hAnsi="仿宋"/>
          <w:szCs w:val="32"/>
        </w:rPr>
        <w:br/>
        <w:t>（一）强迫调解；</w:t>
      </w:r>
    </w:p>
    <w:p w:rsidR="00A9072A" w:rsidRDefault="00A9072A" w:rsidP="00A9072A">
      <w:pPr>
        <w:spacing w:line="520" w:lineRule="exact"/>
        <w:ind w:leftChars="150" w:left="468" w:firstLineChars="50" w:firstLine="156"/>
        <w:rPr>
          <w:rFonts w:ascii="仿宋" w:eastAsia="仿宋" w:hAnsi="仿宋" w:hint="eastAsia"/>
          <w:szCs w:val="32"/>
        </w:rPr>
      </w:pPr>
      <w:r>
        <w:rPr>
          <w:rFonts w:ascii="仿宋" w:eastAsia="仿宋" w:hAnsi="仿宋"/>
          <w:szCs w:val="32"/>
        </w:rPr>
        <w:t>（二）违法调解；</w:t>
      </w:r>
    </w:p>
    <w:p w:rsidR="00A9072A" w:rsidRDefault="00A9072A" w:rsidP="00A9072A">
      <w:pPr>
        <w:spacing w:line="520" w:lineRule="exact"/>
        <w:ind w:leftChars="200" w:left="624"/>
        <w:rPr>
          <w:rFonts w:ascii="仿宋" w:eastAsia="仿宋" w:hAnsi="仿宋" w:hint="eastAsia"/>
          <w:szCs w:val="32"/>
        </w:rPr>
      </w:pPr>
      <w:r>
        <w:rPr>
          <w:rFonts w:ascii="仿宋" w:eastAsia="仿宋" w:hAnsi="仿宋"/>
          <w:szCs w:val="32"/>
        </w:rPr>
        <w:t>（三）接受当事人请托或收受财物；</w:t>
      </w:r>
      <w:r>
        <w:rPr>
          <w:rFonts w:ascii="仿宋" w:eastAsia="仿宋" w:hAnsi="仿宋"/>
          <w:szCs w:val="32"/>
        </w:rPr>
        <w:br/>
        <w:t>（四）泄露调解过程或调解协议内容；</w:t>
      </w:r>
      <w:r>
        <w:rPr>
          <w:rFonts w:ascii="仿宋" w:eastAsia="仿宋" w:hAnsi="仿宋"/>
          <w:szCs w:val="32"/>
        </w:rPr>
        <w:br/>
        <w:t>（五）其他违反调解员职业道德的行为。</w:t>
      </w:r>
    </w:p>
    <w:p w:rsidR="00A9072A" w:rsidRDefault="00A9072A" w:rsidP="00A9072A">
      <w:pPr>
        <w:spacing w:line="520" w:lineRule="exact"/>
        <w:ind w:firstLineChars="200" w:firstLine="624"/>
        <w:rPr>
          <w:rFonts w:ascii="仿宋" w:eastAsia="仿宋" w:hAnsi="仿宋"/>
          <w:szCs w:val="32"/>
        </w:rPr>
      </w:pPr>
      <w:r>
        <w:rPr>
          <w:rFonts w:ascii="仿宋" w:eastAsia="仿宋" w:hAnsi="仿宋"/>
          <w:szCs w:val="32"/>
        </w:rPr>
        <w:t>当事人发现存在上述情形的，可以向人民法院投诉。经审查属实的，人民法院应当予以纠正并</w:t>
      </w:r>
      <w:proofErr w:type="gramStart"/>
      <w:r>
        <w:rPr>
          <w:rFonts w:ascii="仿宋" w:eastAsia="仿宋" w:hAnsi="仿宋"/>
          <w:szCs w:val="32"/>
        </w:rPr>
        <w:t>作出</w:t>
      </w:r>
      <w:proofErr w:type="gramEnd"/>
      <w:r>
        <w:rPr>
          <w:rFonts w:ascii="仿宋" w:eastAsia="仿宋" w:hAnsi="仿宋"/>
          <w:szCs w:val="32"/>
        </w:rPr>
        <w:t>警告、通报、除名等相应处理。</w:t>
      </w:r>
    </w:p>
    <w:p w:rsidR="00A9072A" w:rsidRDefault="00A9072A" w:rsidP="00A9072A">
      <w:pPr>
        <w:spacing w:line="520" w:lineRule="exact"/>
        <w:ind w:firstLineChars="200" w:firstLine="624"/>
        <w:rPr>
          <w:rFonts w:ascii="仿宋" w:eastAsia="仿宋" w:hAnsi="仿宋"/>
          <w:szCs w:val="32"/>
        </w:rPr>
      </w:pPr>
      <w:r>
        <w:rPr>
          <w:rFonts w:ascii="黑体" w:eastAsia="黑体" w:hAnsi="黑体" w:hint="eastAsia"/>
          <w:szCs w:val="32"/>
        </w:rPr>
        <w:t>第十</w:t>
      </w:r>
      <w:r>
        <w:rPr>
          <w:rFonts w:ascii="黑体" w:eastAsia="黑体" w:hAnsi="黑体"/>
          <w:szCs w:val="32"/>
        </w:rPr>
        <w:t>七</w:t>
      </w:r>
      <w:r>
        <w:rPr>
          <w:rFonts w:ascii="黑体" w:eastAsia="黑体" w:hAnsi="黑体" w:hint="eastAsia"/>
          <w:szCs w:val="32"/>
        </w:rPr>
        <w:t>条</w:t>
      </w:r>
      <w:r>
        <w:rPr>
          <w:rFonts w:ascii="黑体" w:eastAsia="黑体" w:hAnsi="黑体"/>
          <w:szCs w:val="32"/>
        </w:rPr>
        <w:t xml:space="preserve">  </w:t>
      </w:r>
      <w:r>
        <w:rPr>
          <w:rFonts w:ascii="仿宋" w:eastAsia="仿宋" w:hAnsi="仿宋" w:hint="eastAsia"/>
          <w:szCs w:val="32"/>
        </w:rPr>
        <w:t>人民法院</w:t>
      </w:r>
      <w:r>
        <w:rPr>
          <w:rFonts w:ascii="仿宋" w:eastAsia="仿宋" w:hAnsi="仿宋"/>
          <w:szCs w:val="32"/>
        </w:rPr>
        <w:t>和</w:t>
      </w:r>
      <w:r>
        <w:rPr>
          <w:rFonts w:ascii="仿宋" w:eastAsia="仿宋" w:hAnsi="仿宋" w:hint="eastAsia"/>
          <w:szCs w:val="32"/>
        </w:rPr>
        <w:t>特邀</w:t>
      </w:r>
      <w:r>
        <w:rPr>
          <w:rFonts w:ascii="仿宋" w:eastAsia="仿宋" w:hAnsi="仿宋"/>
          <w:szCs w:val="32"/>
        </w:rPr>
        <w:t>调解组织应分别</w:t>
      </w:r>
      <w:r>
        <w:rPr>
          <w:rFonts w:ascii="仿宋" w:eastAsia="仿宋" w:hAnsi="仿宋" w:hint="eastAsia"/>
          <w:szCs w:val="32"/>
        </w:rPr>
        <w:t>指定</w:t>
      </w:r>
      <w:r>
        <w:rPr>
          <w:rFonts w:ascii="仿宋" w:eastAsia="仿宋" w:hAnsi="仿宋"/>
          <w:szCs w:val="32"/>
        </w:rPr>
        <w:t>联络人，</w:t>
      </w:r>
      <w:r>
        <w:rPr>
          <w:rFonts w:ascii="仿宋" w:eastAsia="仿宋" w:hAnsi="仿宋" w:hint="eastAsia"/>
          <w:szCs w:val="32"/>
        </w:rPr>
        <w:t>负责</w:t>
      </w:r>
      <w:r>
        <w:rPr>
          <w:rFonts w:ascii="仿宋" w:eastAsia="仿宋" w:hAnsi="仿宋"/>
          <w:szCs w:val="32"/>
        </w:rPr>
        <w:t>日常联络、材料移交及对调解员的培训等工作的沟通、协调。</w:t>
      </w:r>
    </w:p>
    <w:p w:rsidR="00A9072A" w:rsidRDefault="00A9072A" w:rsidP="00A9072A">
      <w:pPr>
        <w:spacing w:line="520" w:lineRule="exact"/>
        <w:ind w:firstLineChars="200" w:firstLine="624"/>
        <w:rPr>
          <w:rFonts w:ascii="仿宋" w:eastAsia="仿宋" w:hAnsi="仿宋" w:hint="eastAsia"/>
          <w:szCs w:val="32"/>
        </w:rPr>
      </w:pPr>
      <w:r>
        <w:rPr>
          <w:rFonts w:ascii="黑体" w:eastAsia="黑体" w:hAnsi="黑体" w:hint="eastAsia"/>
          <w:szCs w:val="32"/>
        </w:rPr>
        <w:t>第十八条</w:t>
      </w:r>
      <w:r>
        <w:rPr>
          <w:rFonts w:ascii="黑体" w:eastAsia="黑体" w:hAnsi="黑体"/>
          <w:szCs w:val="32"/>
        </w:rPr>
        <w:t xml:space="preserve">  </w:t>
      </w:r>
      <w:r>
        <w:rPr>
          <w:rFonts w:ascii="仿宋" w:eastAsia="仿宋" w:hAnsi="仿宋" w:hint="eastAsia"/>
          <w:szCs w:val="32"/>
        </w:rPr>
        <w:t>本规定</w:t>
      </w:r>
      <w:r>
        <w:rPr>
          <w:rFonts w:ascii="仿宋" w:eastAsia="仿宋" w:hAnsi="仿宋"/>
          <w:szCs w:val="32"/>
        </w:rPr>
        <w:t>自下发之日起试行。</w:t>
      </w:r>
    </w:p>
    <w:p w:rsidR="005226A5" w:rsidRPr="00A9072A" w:rsidRDefault="005226A5"/>
    <w:sectPr w:rsidR="005226A5" w:rsidRPr="00A9072A" w:rsidSect="005F7354">
      <w:pgSz w:w="11906" w:h="16838" w:code="9"/>
      <w:pgMar w:top="2098" w:right="1588" w:bottom="2098" w:left="1588" w:header="851" w:footer="992" w:gutter="0"/>
      <w:cols w:space="425"/>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6E"/>
    <w:rsid w:val="000130BE"/>
    <w:rsid w:val="0001693C"/>
    <w:rsid w:val="00017FEA"/>
    <w:rsid w:val="000200D8"/>
    <w:rsid w:val="000569AA"/>
    <w:rsid w:val="00081118"/>
    <w:rsid w:val="0009573B"/>
    <w:rsid w:val="000F4F8C"/>
    <w:rsid w:val="00107FEC"/>
    <w:rsid w:val="00143F2F"/>
    <w:rsid w:val="00145F33"/>
    <w:rsid w:val="0019207F"/>
    <w:rsid w:val="0020406E"/>
    <w:rsid w:val="0020614E"/>
    <w:rsid w:val="0022362D"/>
    <w:rsid w:val="0022647C"/>
    <w:rsid w:val="00264DD4"/>
    <w:rsid w:val="00273B46"/>
    <w:rsid w:val="00282159"/>
    <w:rsid w:val="002A74E4"/>
    <w:rsid w:val="002B29E7"/>
    <w:rsid w:val="002C0525"/>
    <w:rsid w:val="002C4A90"/>
    <w:rsid w:val="002E11FB"/>
    <w:rsid w:val="002F07DF"/>
    <w:rsid w:val="00366384"/>
    <w:rsid w:val="00370046"/>
    <w:rsid w:val="00387852"/>
    <w:rsid w:val="003969E0"/>
    <w:rsid w:val="00396DB8"/>
    <w:rsid w:val="003B2395"/>
    <w:rsid w:val="003B4E43"/>
    <w:rsid w:val="003D5FB4"/>
    <w:rsid w:val="004078CF"/>
    <w:rsid w:val="00415751"/>
    <w:rsid w:val="0045327F"/>
    <w:rsid w:val="00456102"/>
    <w:rsid w:val="004A718A"/>
    <w:rsid w:val="004D1434"/>
    <w:rsid w:val="004D7F14"/>
    <w:rsid w:val="004E4E81"/>
    <w:rsid w:val="00505AFF"/>
    <w:rsid w:val="005226A5"/>
    <w:rsid w:val="00555F60"/>
    <w:rsid w:val="005862E7"/>
    <w:rsid w:val="0059262D"/>
    <w:rsid w:val="005A7A33"/>
    <w:rsid w:val="005B20AB"/>
    <w:rsid w:val="005D1A15"/>
    <w:rsid w:val="005D7F85"/>
    <w:rsid w:val="005F0504"/>
    <w:rsid w:val="005F7354"/>
    <w:rsid w:val="00625A2B"/>
    <w:rsid w:val="00647180"/>
    <w:rsid w:val="00671A55"/>
    <w:rsid w:val="00723B73"/>
    <w:rsid w:val="00725274"/>
    <w:rsid w:val="00733A7E"/>
    <w:rsid w:val="00790C0C"/>
    <w:rsid w:val="007B0A89"/>
    <w:rsid w:val="007B4EE3"/>
    <w:rsid w:val="007D5A6F"/>
    <w:rsid w:val="007E684E"/>
    <w:rsid w:val="00820375"/>
    <w:rsid w:val="0085160D"/>
    <w:rsid w:val="00865B52"/>
    <w:rsid w:val="00876F59"/>
    <w:rsid w:val="00884882"/>
    <w:rsid w:val="008B5EFC"/>
    <w:rsid w:val="008B77F9"/>
    <w:rsid w:val="008D1F40"/>
    <w:rsid w:val="008D285E"/>
    <w:rsid w:val="00901B18"/>
    <w:rsid w:val="0091778E"/>
    <w:rsid w:val="00961D86"/>
    <w:rsid w:val="00966D8E"/>
    <w:rsid w:val="0097786B"/>
    <w:rsid w:val="00987313"/>
    <w:rsid w:val="009A5996"/>
    <w:rsid w:val="009C0BEC"/>
    <w:rsid w:val="00A14DA7"/>
    <w:rsid w:val="00A373FD"/>
    <w:rsid w:val="00A9072A"/>
    <w:rsid w:val="00AE0B61"/>
    <w:rsid w:val="00AE0C17"/>
    <w:rsid w:val="00AE503B"/>
    <w:rsid w:val="00B2137E"/>
    <w:rsid w:val="00B82B30"/>
    <w:rsid w:val="00BB4F04"/>
    <w:rsid w:val="00BF26E2"/>
    <w:rsid w:val="00C07DEA"/>
    <w:rsid w:val="00C25EBF"/>
    <w:rsid w:val="00C260E2"/>
    <w:rsid w:val="00C64DCD"/>
    <w:rsid w:val="00C70EFA"/>
    <w:rsid w:val="00C805CB"/>
    <w:rsid w:val="00C85E12"/>
    <w:rsid w:val="00C901A9"/>
    <w:rsid w:val="00CD2EE7"/>
    <w:rsid w:val="00CD3C49"/>
    <w:rsid w:val="00CF49AA"/>
    <w:rsid w:val="00CF64DA"/>
    <w:rsid w:val="00D20CB9"/>
    <w:rsid w:val="00D30E21"/>
    <w:rsid w:val="00D367B8"/>
    <w:rsid w:val="00D43573"/>
    <w:rsid w:val="00DC4346"/>
    <w:rsid w:val="00DF491F"/>
    <w:rsid w:val="00E15A20"/>
    <w:rsid w:val="00E2628C"/>
    <w:rsid w:val="00E369C9"/>
    <w:rsid w:val="00E4729A"/>
    <w:rsid w:val="00E602E8"/>
    <w:rsid w:val="00EB53B1"/>
    <w:rsid w:val="00EC266E"/>
    <w:rsid w:val="00F0068B"/>
    <w:rsid w:val="00F10F26"/>
    <w:rsid w:val="00F1651D"/>
    <w:rsid w:val="00F26A8F"/>
    <w:rsid w:val="00F32E08"/>
    <w:rsid w:val="00F56B38"/>
    <w:rsid w:val="00F74FF3"/>
    <w:rsid w:val="00F862F6"/>
    <w:rsid w:val="00F917C3"/>
    <w:rsid w:val="00FA0471"/>
    <w:rsid w:val="00FA4A8A"/>
    <w:rsid w:val="00FA53FF"/>
    <w:rsid w:val="00FA60FF"/>
    <w:rsid w:val="00FC3BAA"/>
    <w:rsid w:val="00FE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2A"/>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2A"/>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2024-10-23T00:54:00Z</dcterms:created>
  <dcterms:modified xsi:type="dcterms:W3CDTF">2024-10-23T00:56:00Z</dcterms:modified>
</cp:coreProperties>
</file>