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2571D" w:rsidRDefault="0022571D" w:rsidP="0022571D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p w:rsidR="00922298" w:rsidRDefault="00922298" w:rsidP="0022571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2571D" w:rsidRPr="004F70B8" w:rsidRDefault="0022571D" w:rsidP="0022571D">
      <w:pPr>
        <w:spacing w:line="720" w:lineRule="exact"/>
        <w:jc w:val="center"/>
        <w:rPr>
          <w:rFonts w:ascii="方正小标宋简体" w:eastAsia="方正小标宋简体"/>
          <w:sz w:val="52"/>
          <w:szCs w:val="52"/>
        </w:rPr>
      </w:pPr>
      <w:r w:rsidRPr="004F70B8">
        <w:rPr>
          <w:rFonts w:ascii="方正小标宋简体" w:eastAsia="方正小标宋简体" w:hint="eastAsia"/>
          <w:sz w:val="52"/>
          <w:szCs w:val="52"/>
        </w:rPr>
        <w:t>济南法院知识产权司法保护白皮书</w:t>
      </w:r>
    </w:p>
    <w:p w:rsidR="00DD15F8" w:rsidRDefault="00DD15F8" w:rsidP="0022571D">
      <w:pPr>
        <w:spacing w:line="560" w:lineRule="exact"/>
        <w:jc w:val="center"/>
        <w:rPr>
          <w:rFonts w:ascii="华文楷体" w:eastAsia="华文楷体" w:hAnsi="华文楷体" w:cs="华文楷体"/>
          <w:sz w:val="32"/>
          <w:szCs w:val="32"/>
        </w:rPr>
      </w:pPr>
    </w:p>
    <w:p w:rsidR="0022571D" w:rsidRPr="00F47C04" w:rsidRDefault="0022571D" w:rsidP="0022571D">
      <w:pPr>
        <w:spacing w:line="560" w:lineRule="exact"/>
        <w:jc w:val="center"/>
        <w:rPr>
          <w:rFonts w:ascii="华文楷体" w:eastAsia="华文楷体" w:hAnsi="华文楷体" w:cs="华文楷体"/>
          <w:b/>
          <w:sz w:val="44"/>
          <w:szCs w:val="44"/>
        </w:rPr>
      </w:pPr>
      <w:r w:rsidRPr="00F47C04">
        <w:rPr>
          <w:rFonts w:ascii="华文楷体" w:eastAsia="华文楷体" w:hAnsi="华文楷体" w:cs="华文楷体" w:hint="eastAsia"/>
          <w:b/>
          <w:sz w:val="44"/>
          <w:szCs w:val="44"/>
        </w:rPr>
        <w:t>（202</w:t>
      </w:r>
      <w:r w:rsidR="006F1AED">
        <w:rPr>
          <w:rFonts w:ascii="华文楷体" w:eastAsia="华文楷体" w:hAnsi="华文楷体" w:cs="华文楷体" w:hint="eastAsia"/>
          <w:b/>
          <w:sz w:val="44"/>
          <w:szCs w:val="44"/>
        </w:rPr>
        <w:t>1</w:t>
      </w:r>
      <w:r w:rsidRPr="00F47C04">
        <w:rPr>
          <w:rFonts w:ascii="华文楷体" w:eastAsia="华文楷体" w:hAnsi="华文楷体" w:cs="华文楷体" w:hint="eastAsia"/>
          <w:b/>
          <w:sz w:val="44"/>
          <w:szCs w:val="44"/>
        </w:rPr>
        <w:t>年度）</w:t>
      </w:r>
    </w:p>
    <w:p w:rsidR="00B54ABA" w:rsidRPr="0022571D" w:rsidRDefault="00B54AB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4ABA" w:rsidRDefault="00B54AB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4ABA" w:rsidRDefault="00B54AB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4ABA" w:rsidRDefault="00B54AB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4ABA" w:rsidRDefault="00B54AB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3050D" w:rsidRDefault="00D3050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3050D" w:rsidRDefault="00D3050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4ABA" w:rsidRDefault="00B54AB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4ABA" w:rsidRDefault="00B54AB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4ABA" w:rsidRDefault="00B54AB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B1DA3" w:rsidRDefault="008B1DA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B1DA3" w:rsidRDefault="008B1DA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8B1DA3" w:rsidRDefault="008B1DA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4ABA" w:rsidRPr="00D00D36" w:rsidRDefault="00D649C0">
      <w:pPr>
        <w:spacing w:line="560" w:lineRule="exact"/>
        <w:jc w:val="center"/>
        <w:rPr>
          <w:rFonts w:ascii="仿宋_GB2312" w:eastAsia="仿宋_GB2312"/>
          <w:b/>
          <w:sz w:val="36"/>
          <w:szCs w:val="36"/>
        </w:rPr>
      </w:pPr>
      <w:r w:rsidRPr="00D00D36">
        <w:rPr>
          <w:rFonts w:ascii="仿宋_GB2312" w:eastAsia="仿宋_GB2312" w:hint="eastAsia"/>
          <w:b/>
          <w:sz w:val="36"/>
          <w:szCs w:val="36"/>
        </w:rPr>
        <w:t>济南市中级人民法院</w:t>
      </w:r>
    </w:p>
    <w:p w:rsidR="0022571D" w:rsidRPr="00F97EC8" w:rsidRDefault="00F47C04">
      <w:pPr>
        <w:spacing w:line="560" w:lineRule="exact"/>
        <w:jc w:val="center"/>
        <w:rPr>
          <w:rFonts w:ascii="仿宋_GB2312" w:eastAsia="仿宋_GB2312"/>
          <w:b/>
          <w:color w:val="C00000"/>
          <w:sz w:val="36"/>
          <w:szCs w:val="36"/>
        </w:rPr>
      </w:pPr>
      <w:r w:rsidRPr="00F97EC8">
        <w:rPr>
          <w:rFonts w:ascii="仿宋_GB2312" w:eastAsia="仿宋_GB2312" w:hint="eastAsia"/>
          <w:b/>
          <w:color w:val="C00000"/>
          <w:sz w:val="36"/>
          <w:szCs w:val="36"/>
        </w:rPr>
        <w:t xml:space="preserve"> </w:t>
      </w:r>
      <w:r w:rsidR="0022571D" w:rsidRPr="00762A4A">
        <w:rPr>
          <w:rFonts w:ascii="仿宋_GB2312" w:eastAsia="仿宋_GB2312" w:hint="eastAsia"/>
          <w:b/>
          <w:color w:val="0D0D0D" w:themeColor="text1" w:themeTint="F2"/>
          <w:sz w:val="36"/>
          <w:szCs w:val="36"/>
        </w:rPr>
        <w:t>202</w:t>
      </w:r>
      <w:r w:rsidR="006F1AED" w:rsidRPr="00762A4A">
        <w:rPr>
          <w:rFonts w:ascii="仿宋_GB2312" w:eastAsia="仿宋_GB2312" w:hint="eastAsia"/>
          <w:b/>
          <w:color w:val="0D0D0D" w:themeColor="text1" w:themeTint="F2"/>
          <w:sz w:val="36"/>
          <w:szCs w:val="36"/>
        </w:rPr>
        <w:t>2</w:t>
      </w:r>
      <w:r w:rsidR="0022571D" w:rsidRPr="00762A4A">
        <w:rPr>
          <w:rFonts w:ascii="仿宋_GB2312" w:eastAsia="仿宋_GB2312" w:hint="eastAsia"/>
          <w:b/>
          <w:color w:val="0D0D0D" w:themeColor="text1" w:themeTint="F2"/>
          <w:sz w:val="36"/>
          <w:szCs w:val="36"/>
        </w:rPr>
        <w:t>年4月</w:t>
      </w:r>
      <w:r w:rsidR="00762A4A">
        <w:rPr>
          <w:rFonts w:ascii="仿宋_GB2312" w:eastAsia="仿宋_GB2312"/>
          <w:b/>
          <w:color w:val="0D0D0D" w:themeColor="text1" w:themeTint="F2"/>
          <w:sz w:val="36"/>
          <w:szCs w:val="36"/>
        </w:rPr>
        <w:t>21</w:t>
      </w:r>
      <w:r w:rsidR="0022571D" w:rsidRPr="00762A4A">
        <w:rPr>
          <w:rFonts w:ascii="仿宋_GB2312" w:eastAsia="仿宋_GB2312" w:hint="eastAsia"/>
          <w:b/>
          <w:color w:val="0D0D0D" w:themeColor="text1" w:themeTint="F2"/>
          <w:sz w:val="36"/>
          <w:szCs w:val="36"/>
        </w:rPr>
        <w:t>日</w:t>
      </w:r>
    </w:p>
    <w:p w:rsidR="00B54ABA" w:rsidRDefault="00B54AB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4ABA" w:rsidRDefault="00B54AB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B54ABA" w:rsidRDefault="00B54AB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7A1588" w:rsidRPr="00AC6B75" w:rsidRDefault="006F1AED" w:rsidP="00F97EC8">
      <w:p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6F1AED">
        <w:rPr>
          <w:rFonts w:ascii="仿宋_GB2312" w:eastAsia="仿宋_GB2312" w:hAnsi="Calibri" w:cs="Times New Roman" w:hint="eastAsia"/>
          <w:sz w:val="32"/>
          <w:szCs w:val="32"/>
        </w:rPr>
        <w:lastRenderedPageBreak/>
        <w:t>2021</w:t>
      </w:r>
      <w:r w:rsidRPr="00762A4A">
        <w:rPr>
          <w:rFonts w:ascii="仿宋_GB2312" w:eastAsia="仿宋_GB2312" w:hAnsi="Calibri" w:cs="Times New Roman" w:hint="eastAsia"/>
          <w:color w:val="0D0D0D" w:themeColor="text1" w:themeTint="F2"/>
          <w:sz w:val="32"/>
          <w:szCs w:val="32"/>
        </w:rPr>
        <w:t>年，</w:t>
      </w:r>
      <w:r w:rsidR="006725A7" w:rsidRPr="00762A4A">
        <w:rPr>
          <w:rFonts w:ascii="仿宋_GB2312" w:eastAsia="仿宋_GB2312" w:hAnsi="Calibri" w:cs="Times New Roman" w:hint="eastAsia"/>
          <w:color w:val="0D0D0D" w:themeColor="text1" w:themeTint="F2"/>
          <w:sz w:val="32"/>
          <w:szCs w:val="32"/>
        </w:rPr>
        <w:t>济南</w:t>
      </w:r>
      <w:r w:rsidR="00025839" w:rsidRPr="00762A4A">
        <w:rPr>
          <w:rFonts w:ascii="仿宋_GB2312" w:eastAsia="仿宋_GB2312" w:hAnsi="Calibri" w:cs="Times New Roman" w:hint="eastAsia"/>
          <w:color w:val="0D0D0D" w:themeColor="text1" w:themeTint="F2"/>
          <w:sz w:val="32"/>
          <w:szCs w:val="32"/>
        </w:rPr>
        <w:t>法院在市委坚</w:t>
      </w:r>
      <w:r w:rsidR="00025839">
        <w:rPr>
          <w:rFonts w:ascii="仿宋_GB2312" w:eastAsia="仿宋_GB2312" w:hAnsi="Calibri" w:cs="Times New Roman" w:hint="eastAsia"/>
          <w:sz w:val="32"/>
          <w:szCs w:val="32"/>
        </w:rPr>
        <w:t>强领导和上级法院监督指导下，坚持以习近平新时代中国特色社会主义思想为指导，全面贯彻党的十九大和十九届历次全会精</w:t>
      </w:r>
      <w:r w:rsidR="00025839" w:rsidRPr="00AC6B75">
        <w:rPr>
          <w:rFonts w:ascii="仿宋_GB2312" w:eastAsia="仿宋_GB2312" w:hAnsi="Calibri" w:cs="Times New Roman" w:hint="eastAsia"/>
          <w:sz w:val="32"/>
          <w:szCs w:val="32"/>
        </w:rPr>
        <w:t>神，</w:t>
      </w:r>
      <w:r w:rsidRPr="00AC6B75">
        <w:rPr>
          <w:rFonts w:ascii="仿宋_GB2312" w:eastAsia="仿宋_GB2312" w:hAnsi="Calibri" w:cs="Times New Roman" w:hint="eastAsia"/>
          <w:sz w:val="32"/>
          <w:szCs w:val="32"/>
        </w:rPr>
        <w:t>扎实推进知识产权审判各项工作，深化审判</w:t>
      </w:r>
      <w:r w:rsidR="00F97EC8" w:rsidRPr="00AC6B75">
        <w:rPr>
          <w:rFonts w:ascii="仿宋_GB2312" w:eastAsia="仿宋_GB2312" w:hAnsi="Calibri" w:cs="Times New Roman" w:hint="eastAsia"/>
          <w:sz w:val="32"/>
          <w:szCs w:val="32"/>
        </w:rPr>
        <w:t>体系</w:t>
      </w:r>
      <w:r w:rsidRPr="00AC6B75">
        <w:rPr>
          <w:rFonts w:ascii="仿宋_GB2312" w:eastAsia="仿宋_GB2312" w:hAnsi="Calibri" w:cs="Times New Roman" w:hint="eastAsia"/>
          <w:sz w:val="32"/>
          <w:szCs w:val="32"/>
        </w:rPr>
        <w:t>机制创新</w:t>
      </w:r>
      <w:r w:rsidR="00F97EC8" w:rsidRPr="00AC6B75">
        <w:rPr>
          <w:rFonts w:ascii="仿宋_GB2312" w:eastAsia="仿宋_GB2312" w:hAnsi="Calibri" w:cs="Times New Roman" w:hint="eastAsia"/>
          <w:sz w:val="32"/>
          <w:szCs w:val="32"/>
        </w:rPr>
        <w:t>，</w:t>
      </w:r>
      <w:r w:rsidRPr="00AC6B75">
        <w:rPr>
          <w:rFonts w:ascii="仿宋_GB2312" w:eastAsia="仿宋_GB2312" w:hAnsi="Calibri" w:cs="Times New Roman" w:hint="eastAsia"/>
          <w:sz w:val="32"/>
          <w:szCs w:val="32"/>
        </w:rPr>
        <w:t>为助推经济社会高质量发展、保障新时代</w:t>
      </w:r>
      <w:r w:rsidR="00F94E9F">
        <w:rPr>
          <w:rFonts w:ascii="仿宋_GB2312" w:eastAsia="仿宋_GB2312" w:hAnsi="Calibri" w:cs="Times New Roman" w:hint="eastAsia"/>
          <w:sz w:val="32"/>
          <w:szCs w:val="32"/>
        </w:rPr>
        <w:t>社会主义</w:t>
      </w:r>
      <w:r w:rsidRPr="00AC6B75">
        <w:rPr>
          <w:rFonts w:ascii="仿宋_GB2312" w:eastAsia="仿宋_GB2312" w:hAnsi="Calibri" w:cs="Times New Roman" w:hint="eastAsia"/>
          <w:sz w:val="32"/>
          <w:szCs w:val="32"/>
        </w:rPr>
        <w:t>现代化强省会建设</w:t>
      </w:r>
      <w:r w:rsidR="00F97EC8" w:rsidRPr="00AC6B75">
        <w:rPr>
          <w:rFonts w:ascii="仿宋_GB2312" w:eastAsia="仿宋_GB2312" w:hAnsi="Calibri" w:cs="Times New Roman" w:hint="eastAsia"/>
          <w:sz w:val="32"/>
          <w:szCs w:val="32"/>
        </w:rPr>
        <w:t>提供了</w:t>
      </w:r>
      <w:r w:rsidR="00F97EC8" w:rsidRPr="00AC6B75">
        <w:rPr>
          <w:rFonts w:ascii="仿宋_GB2312" w:eastAsia="仿宋_GB2312" w:hAnsi="Calibri" w:cs="Times New Roman"/>
          <w:sz w:val="32"/>
          <w:szCs w:val="32"/>
        </w:rPr>
        <w:t>有力的司法服务和保障</w:t>
      </w:r>
      <w:r w:rsidRPr="00AC6B75">
        <w:rPr>
          <w:rFonts w:ascii="仿宋_GB2312" w:eastAsia="仿宋_GB2312" w:hAnsi="Calibri" w:cs="Times New Roman" w:hint="eastAsia"/>
          <w:sz w:val="32"/>
          <w:szCs w:val="32"/>
        </w:rPr>
        <w:t>。</w:t>
      </w:r>
    </w:p>
    <w:p w:rsidR="007A1588" w:rsidRPr="00AC6B75" w:rsidRDefault="00F4460F" w:rsidP="00F97EC8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AC6B75">
        <w:rPr>
          <w:rFonts w:ascii="黑体" w:eastAsia="黑体" w:hAnsi="黑体" w:hint="eastAsia"/>
          <w:sz w:val="32"/>
          <w:szCs w:val="32"/>
        </w:rPr>
        <w:t>一、</w:t>
      </w:r>
      <w:r w:rsidR="006725A7">
        <w:rPr>
          <w:rFonts w:ascii="黑体" w:eastAsia="黑体" w:hAnsi="黑体" w:hint="eastAsia"/>
          <w:sz w:val="32"/>
          <w:szCs w:val="32"/>
        </w:rPr>
        <w:t>依法履行审判职能</w:t>
      </w:r>
      <w:r w:rsidR="00300AA1" w:rsidRPr="00AC6B75">
        <w:rPr>
          <w:rFonts w:ascii="黑体" w:eastAsia="黑体" w:hAnsi="黑体" w:hint="eastAsia"/>
          <w:sz w:val="32"/>
          <w:szCs w:val="32"/>
        </w:rPr>
        <w:t>，着力提升审判质效</w:t>
      </w:r>
      <w:r w:rsidR="00300AA1" w:rsidRPr="00AC6B75">
        <w:rPr>
          <w:rFonts w:ascii="黑体" w:eastAsia="黑体" w:hAnsi="黑体"/>
          <w:sz w:val="32"/>
          <w:szCs w:val="32"/>
        </w:rPr>
        <w:t xml:space="preserve"> </w:t>
      </w:r>
    </w:p>
    <w:p w:rsidR="007A1588" w:rsidRDefault="00300AA1" w:rsidP="00F97EC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 w:rsidR="00F4460F">
        <w:rPr>
          <w:rFonts w:ascii="仿宋_GB2312" w:eastAsia="仿宋_GB2312" w:hint="eastAsia"/>
          <w:sz w:val="32"/>
          <w:szCs w:val="32"/>
        </w:rPr>
        <w:t>年，全市法院共受理各类知识产权案件</w:t>
      </w:r>
      <w:r w:rsidR="00C6567D">
        <w:rPr>
          <w:rFonts w:ascii="仿宋_GB2312" w:eastAsia="仿宋_GB2312" w:hint="eastAsia"/>
          <w:sz w:val="32"/>
          <w:szCs w:val="32"/>
        </w:rPr>
        <w:t>4604</w:t>
      </w:r>
      <w:r>
        <w:rPr>
          <w:rFonts w:ascii="仿宋_GB2312" w:eastAsia="仿宋_GB2312" w:hint="eastAsia"/>
          <w:sz w:val="32"/>
          <w:szCs w:val="32"/>
        </w:rPr>
        <w:t>件，同比降低</w:t>
      </w:r>
      <w:r w:rsidR="00C6567D">
        <w:rPr>
          <w:rFonts w:ascii="仿宋_GB2312" w:eastAsia="仿宋_GB2312" w:hint="eastAsia"/>
          <w:sz w:val="32"/>
          <w:szCs w:val="32"/>
        </w:rPr>
        <w:t>13.03</w:t>
      </w:r>
      <w:r>
        <w:rPr>
          <w:rFonts w:ascii="仿宋_GB2312" w:eastAsia="仿宋_GB2312" w:hint="eastAsia"/>
          <w:sz w:val="32"/>
          <w:szCs w:val="32"/>
        </w:rPr>
        <w:t>%</w:t>
      </w:r>
      <w:r w:rsidR="009855A2" w:rsidRPr="00DE2D1A">
        <w:rPr>
          <w:rFonts w:ascii="仿宋_GB2312" w:eastAsia="仿宋_GB2312" w:hint="eastAsia"/>
          <w:sz w:val="32"/>
          <w:szCs w:val="32"/>
        </w:rPr>
        <w:t>（见图1）</w:t>
      </w:r>
      <w:r w:rsidR="00F4460F">
        <w:rPr>
          <w:rFonts w:ascii="仿宋_GB2312" w:eastAsia="仿宋_GB2312" w:hint="eastAsia"/>
          <w:sz w:val="32"/>
          <w:szCs w:val="32"/>
        </w:rPr>
        <w:t>。其中，民事一审案件</w:t>
      </w:r>
      <w:r w:rsidR="00C6567D">
        <w:rPr>
          <w:rFonts w:ascii="仿宋_GB2312" w:eastAsia="仿宋_GB2312" w:hint="eastAsia"/>
          <w:sz w:val="32"/>
          <w:szCs w:val="32"/>
        </w:rPr>
        <w:t>4222</w:t>
      </w:r>
      <w:r w:rsidR="00F4460F">
        <w:rPr>
          <w:rFonts w:ascii="仿宋_GB2312" w:eastAsia="仿宋_GB2312" w:hint="eastAsia"/>
          <w:sz w:val="32"/>
          <w:szCs w:val="32"/>
        </w:rPr>
        <w:t>件，民事二审案件</w:t>
      </w:r>
      <w:r>
        <w:rPr>
          <w:rFonts w:ascii="仿宋_GB2312" w:eastAsia="仿宋_GB2312" w:hint="eastAsia"/>
          <w:sz w:val="32"/>
          <w:szCs w:val="32"/>
        </w:rPr>
        <w:t>2</w:t>
      </w:r>
      <w:r w:rsidR="00C6567D">
        <w:rPr>
          <w:rFonts w:ascii="仿宋_GB2312" w:eastAsia="仿宋_GB2312" w:hint="eastAsia"/>
          <w:sz w:val="32"/>
          <w:szCs w:val="32"/>
        </w:rPr>
        <w:t>89</w:t>
      </w:r>
      <w:r w:rsidR="00F4460F">
        <w:rPr>
          <w:rFonts w:ascii="仿宋_GB2312" w:eastAsia="仿宋_GB2312" w:hint="eastAsia"/>
          <w:sz w:val="32"/>
          <w:szCs w:val="32"/>
        </w:rPr>
        <w:t>件，行政一审案件</w:t>
      </w:r>
      <w:r>
        <w:rPr>
          <w:rFonts w:ascii="仿宋_GB2312" w:eastAsia="仿宋_GB2312" w:hint="eastAsia"/>
          <w:sz w:val="32"/>
          <w:szCs w:val="32"/>
        </w:rPr>
        <w:t>1</w:t>
      </w:r>
      <w:r w:rsidR="00C6567D">
        <w:rPr>
          <w:rFonts w:ascii="仿宋_GB2312" w:eastAsia="仿宋_GB2312" w:hint="eastAsia"/>
          <w:sz w:val="32"/>
          <w:szCs w:val="32"/>
        </w:rPr>
        <w:t>2</w:t>
      </w:r>
      <w:r w:rsidR="00F4460F">
        <w:rPr>
          <w:rFonts w:ascii="仿宋_GB2312" w:eastAsia="仿宋_GB2312" w:hint="eastAsia"/>
          <w:sz w:val="32"/>
          <w:szCs w:val="32"/>
        </w:rPr>
        <w:t>件，</w:t>
      </w:r>
      <w:r w:rsidR="00F4460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刑事一审案件</w:t>
      </w:r>
      <w:r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23</w:t>
      </w:r>
      <w:r w:rsidR="00F4460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件，刑事二审案件</w:t>
      </w:r>
      <w:r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2</w:t>
      </w:r>
      <w:r w:rsidR="00F4460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件，</w:t>
      </w:r>
      <w:r w:rsidR="00C74B29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诉讼</w:t>
      </w:r>
      <w:r w:rsidR="00F4460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保全案件</w:t>
      </w:r>
      <w:r w:rsidR="00286B24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21</w:t>
      </w:r>
      <w:r w:rsidR="00F4460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件，其他案件</w:t>
      </w:r>
      <w:r w:rsidR="00286B24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35</w:t>
      </w:r>
      <w:r w:rsidR="00F4460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件。</w:t>
      </w:r>
    </w:p>
    <w:p w:rsidR="0077424D" w:rsidRDefault="00D51FB8" w:rsidP="00F97EC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noProof/>
          <w:kern w:val="0"/>
          <w:sz w:val="32"/>
          <w:szCs w:val="32"/>
        </w:rPr>
        <w:drawing>
          <wp:anchor distT="0" distB="0" distL="114300" distR="114300" simplePos="0" relativeHeight="251654656" behindDoc="0" locked="0" layoutInCell="1" allowOverlap="1" wp14:anchorId="5C38F1C8" wp14:editId="0FA067AA">
            <wp:simplePos x="0" y="0"/>
            <wp:positionH relativeFrom="margin">
              <wp:posOffset>167640</wp:posOffset>
            </wp:positionH>
            <wp:positionV relativeFrom="paragraph">
              <wp:posOffset>53340</wp:posOffset>
            </wp:positionV>
            <wp:extent cx="5422265" cy="2984500"/>
            <wp:effectExtent l="0" t="0" r="0" b="0"/>
            <wp:wrapTopAndBottom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4D" w:rsidRPr="0077424D">
        <w:rPr>
          <w:rFonts w:ascii="仿宋_GB2312" w:eastAsia="仿宋_GB2312" w:hint="eastAsia"/>
          <w:sz w:val="32"/>
          <w:szCs w:val="32"/>
        </w:rPr>
        <w:t>2021年，全市法院共审结各类知识产权案件4367</w:t>
      </w:r>
      <w:r w:rsidR="0044235F">
        <w:rPr>
          <w:rFonts w:ascii="仿宋_GB2312" w:eastAsia="仿宋_GB2312" w:hint="eastAsia"/>
          <w:sz w:val="32"/>
          <w:szCs w:val="32"/>
        </w:rPr>
        <w:t>件</w:t>
      </w:r>
      <w:r w:rsidR="0077424D" w:rsidRPr="0077424D">
        <w:rPr>
          <w:rFonts w:ascii="仿宋_GB2312" w:eastAsia="仿宋_GB2312" w:hint="eastAsia"/>
          <w:sz w:val="32"/>
          <w:szCs w:val="32"/>
        </w:rPr>
        <w:t>，结收比94.85%（见图</w:t>
      </w:r>
      <w:r w:rsidR="0077424D">
        <w:rPr>
          <w:rFonts w:ascii="仿宋_GB2312" w:eastAsia="仿宋_GB2312" w:hint="eastAsia"/>
          <w:sz w:val="32"/>
          <w:szCs w:val="32"/>
        </w:rPr>
        <w:t>2</w:t>
      </w:r>
      <w:r w:rsidR="0077424D" w:rsidRPr="0077424D">
        <w:rPr>
          <w:rFonts w:ascii="仿宋_GB2312" w:eastAsia="仿宋_GB2312" w:hint="eastAsia"/>
          <w:sz w:val="32"/>
          <w:szCs w:val="32"/>
        </w:rPr>
        <w:t>），服判息诉率94.23%（见图</w:t>
      </w:r>
      <w:r w:rsidR="0077424D">
        <w:rPr>
          <w:rFonts w:ascii="仿宋_GB2312" w:eastAsia="仿宋_GB2312" w:hint="eastAsia"/>
          <w:sz w:val="32"/>
          <w:szCs w:val="32"/>
        </w:rPr>
        <w:t>3</w:t>
      </w:r>
      <w:r w:rsidR="0077424D" w:rsidRPr="0077424D">
        <w:rPr>
          <w:rFonts w:ascii="仿宋_GB2312" w:eastAsia="仿宋_GB2312" w:hint="eastAsia"/>
          <w:sz w:val="32"/>
          <w:szCs w:val="32"/>
        </w:rPr>
        <w:t>），调撤结案2801件、调撤率64.1</w:t>
      </w:r>
      <w:r w:rsidR="0077424D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4%（见图4</w:t>
      </w:r>
      <w:r w:rsidR="00D70AC0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），其中</w:t>
      </w:r>
      <w:r w:rsidR="00365876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章丘</w:t>
      </w:r>
      <w:r w:rsidR="00D70AC0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区</w:t>
      </w:r>
      <w:r w:rsidR="00365876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法院调撤结案</w:t>
      </w:r>
      <w:r w:rsidR="00984C97" w:rsidRPr="00762A4A">
        <w:rPr>
          <w:rFonts w:ascii="仿宋_GB2312" w:eastAsia="仿宋_GB2312"/>
          <w:color w:val="0D0D0D" w:themeColor="text1" w:themeTint="F2"/>
          <w:sz w:val="32"/>
          <w:szCs w:val="32"/>
        </w:rPr>
        <w:t>908</w:t>
      </w:r>
      <w:r w:rsidR="00365876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件，调撤率达</w:t>
      </w:r>
      <w:r w:rsidR="00077333" w:rsidRPr="00762A4A">
        <w:rPr>
          <w:rFonts w:ascii="仿宋_GB2312" w:eastAsia="仿宋_GB2312"/>
          <w:color w:val="0D0D0D" w:themeColor="text1" w:themeTint="F2"/>
          <w:sz w:val="32"/>
          <w:szCs w:val="32"/>
        </w:rPr>
        <w:t>7</w:t>
      </w:r>
      <w:r w:rsidR="00984C97" w:rsidRPr="00762A4A">
        <w:rPr>
          <w:rFonts w:ascii="仿宋_GB2312" w:eastAsia="仿宋_GB2312"/>
          <w:color w:val="0D0D0D" w:themeColor="text1" w:themeTint="F2"/>
          <w:sz w:val="32"/>
          <w:szCs w:val="32"/>
        </w:rPr>
        <w:t>2.12</w:t>
      </w:r>
      <w:r w:rsidR="00365876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%</w:t>
      </w:r>
      <w:r w:rsidR="00ED0FEC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，全市</w:t>
      </w:r>
      <w:r w:rsidR="00ED0FEC" w:rsidRPr="00762A4A">
        <w:rPr>
          <w:rFonts w:ascii="仿宋_GB2312" w:eastAsia="仿宋_GB2312"/>
          <w:color w:val="0D0D0D" w:themeColor="text1" w:themeTint="F2"/>
          <w:sz w:val="32"/>
          <w:szCs w:val="32"/>
        </w:rPr>
        <w:t>知识产权审判</w:t>
      </w:r>
      <w:r w:rsidR="00ED0FEC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各项</w:t>
      </w:r>
      <w:r w:rsidR="00ED0FEC" w:rsidRPr="00762A4A">
        <w:rPr>
          <w:rFonts w:ascii="仿宋_GB2312" w:eastAsia="仿宋_GB2312"/>
          <w:color w:val="0D0D0D" w:themeColor="text1" w:themeTint="F2"/>
          <w:sz w:val="32"/>
          <w:szCs w:val="32"/>
        </w:rPr>
        <w:t>主要</w:t>
      </w:r>
      <w:r w:rsidR="00ED0FEC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质效</w:t>
      </w:r>
      <w:r w:rsidR="00ED0FEC" w:rsidRPr="00762A4A">
        <w:rPr>
          <w:rFonts w:ascii="仿宋_GB2312" w:eastAsia="仿宋_GB2312"/>
          <w:color w:val="0D0D0D" w:themeColor="text1" w:themeTint="F2"/>
          <w:sz w:val="32"/>
          <w:szCs w:val="32"/>
        </w:rPr>
        <w:t>指标均位居全省法院前列。</w:t>
      </w:r>
    </w:p>
    <w:p w:rsidR="00E72D04" w:rsidRPr="00AC6B75" w:rsidRDefault="003A2431" w:rsidP="00E72D04">
      <w:pPr>
        <w:spacing w:line="560" w:lineRule="exact"/>
        <w:ind w:firstLineChars="300" w:firstLine="630"/>
        <w:rPr>
          <w:rFonts w:ascii="仿宋_GB2312" w:eastAsia="仿宋_GB2312"/>
          <w:sz w:val="32"/>
          <w:szCs w:val="32"/>
        </w:rPr>
      </w:pPr>
      <w:r w:rsidRPr="00DE2D1A">
        <w:rPr>
          <w:rFonts w:hint="eastAsia"/>
          <w:noProof/>
        </w:rPr>
        <w:lastRenderedPageBreak/>
        <w:drawing>
          <wp:anchor distT="0" distB="0" distL="114300" distR="114300" simplePos="0" relativeHeight="251656704" behindDoc="0" locked="0" layoutInCell="1" allowOverlap="1" wp14:anchorId="56C7DD03" wp14:editId="4C76B373">
            <wp:simplePos x="0" y="0"/>
            <wp:positionH relativeFrom="column">
              <wp:posOffset>-212090</wp:posOffset>
            </wp:positionH>
            <wp:positionV relativeFrom="paragraph">
              <wp:posOffset>-158750</wp:posOffset>
            </wp:positionV>
            <wp:extent cx="2458085" cy="2096135"/>
            <wp:effectExtent l="0" t="0" r="0" b="0"/>
            <wp:wrapTopAndBottom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D1A"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43A488CA" wp14:editId="1A208739">
            <wp:simplePos x="0" y="0"/>
            <wp:positionH relativeFrom="column">
              <wp:posOffset>1861820</wp:posOffset>
            </wp:positionH>
            <wp:positionV relativeFrom="paragraph">
              <wp:posOffset>-160020</wp:posOffset>
            </wp:positionV>
            <wp:extent cx="2354580" cy="2070100"/>
            <wp:effectExtent l="0" t="0" r="0" b="6350"/>
            <wp:wrapTopAndBottom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D1A">
        <w:rPr>
          <w:rFonts w:hint="eastAsia"/>
          <w:noProof/>
        </w:rPr>
        <w:drawing>
          <wp:anchor distT="0" distB="0" distL="114300" distR="114300" simplePos="0" relativeHeight="251660800" behindDoc="0" locked="0" layoutInCell="1" allowOverlap="1" wp14:anchorId="63947030" wp14:editId="50A0CB4F">
            <wp:simplePos x="0" y="0"/>
            <wp:positionH relativeFrom="column">
              <wp:posOffset>3722370</wp:posOffset>
            </wp:positionH>
            <wp:positionV relativeFrom="paragraph">
              <wp:posOffset>-169545</wp:posOffset>
            </wp:positionV>
            <wp:extent cx="2333625" cy="2060575"/>
            <wp:effectExtent l="0" t="0" r="0" b="0"/>
            <wp:wrapTopAndBottom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D1A">
        <w:rPr>
          <w:rFonts w:ascii="仿宋_GB2312" w:eastAsia="仿宋_GB2312" w:hint="eastAsia"/>
          <w:sz w:val="32"/>
          <w:szCs w:val="32"/>
        </w:rPr>
        <w:t>全市法院</w:t>
      </w:r>
      <w:r w:rsidR="00F4460F" w:rsidRPr="00DE2D1A">
        <w:rPr>
          <w:rFonts w:ascii="仿宋_GB2312" w:eastAsia="仿宋_GB2312" w:hint="eastAsia"/>
          <w:sz w:val="32"/>
          <w:szCs w:val="32"/>
        </w:rPr>
        <w:t>受理的民事案件中</w:t>
      </w:r>
      <w:r w:rsidR="00F4460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，著作权案件</w:t>
      </w:r>
      <w:r w:rsidR="008D0CF0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1580</w:t>
      </w:r>
      <w:r w:rsidR="00F4460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件、占</w:t>
      </w:r>
      <w:r w:rsidR="008D0CF0" w:rsidRPr="00D00EC9">
        <w:rPr>
          <w:rFonts w:ascii="仿宋_GB2312" w:eastAsia="仿宋_GB2312" w:hint="eastAsia"/>
          <w:sz w:val="32"/>
          <w:szCs w:val="32"/>
        </w:rPr>
        <w:t>34.32</w:t>
      </w:r>
      <w:r w:rsidR="00F4460F" w:rsidRPr="00D00EC9">
        <w:rPr>
          <w:rFonts w:ascii="仿宋_GB2312" w:eastAsia="仿宋_GB2312" w:hint="eastAsia"/>
          <w:sz w:val="32"/>
          <w:szCs w:val="32"/>
        </w:rPr>
        <w:t>%，专利权案件</w:t>
      </w:r>
      <w:r w:rsidR="008D0CF0" w:rsidRPr="00D00EC9">
        <w:rPr>
          <w:rFonts w:ascii="仿宋_GB2312" w:eastAsia="仿宋_GB2312" w:hint="eastAsia"/>
          <w:sz w:val="32"/>
          <w:szCs w:val="32"/>
        </w:rPr>
        <w:t>1180</w:t>
      </w:r>
      <w:r w:rsidR="00F4460F" w:rsidRPr="00D00EC9">
        <w:rPr>
          <w:rFonts w:ascii="仿宋_GB2312" w:eastAsia="仿宋_GB2312" w:hint="eastAsia"/>
          <w:sz w:val="32"/>
          <w:szCs w:val="32"/>
        </w:rPr>
        <w:t>件、占</w:t>
      </w:r>
      <w:r w:rsidR="008D0CF0" w:rsidRPr="00D00EC9">
        <w:rPr>
          <w:rFonts w:ascii="仿宋_GB2312" w:eastAsia="仿宋_GB2312" w:hint="eastAsia"/>
          <w:sz w:val="32"/>
          <w:szCs w:val="32"/>
        </w:rPr>
        <w:t>25.63</w:t>
      </w:r>
      <w:r w:rsidR="00F4460F" w:rsidRPr="00D00EC9">
        <w:rPr>
          <w:rFonts w:ascii="仿宋_GB2312" w:eastAsia="仿宋_GB2312" w:hint="eastAsia"/>
          <w:sz w:val="32"/>
          <w:szCs w:val="32"/>
        </w:rPr>
        <w:t>%，商标权案件</w:t>
      </w:r>
      <w:r w:rsidR="008D0CF0" w:rsidRPr="00D00EC9">
        <w:rPr>
          <w:rFonts w:ascii="仿宋_GB2312" w:eastAsia="仿宋_GB2312" w:hint="eastAsia"/>
          <w:sz w:val="32"/>
          <w:szCs w:val="32"/>
        </w:rPr>
        <w:t>786</w:t>
      </w:r>
      <w:r w:rsidR="00F4460F" w:rsidRPr="00D00EC9">
        <w:rPr>
          <w:rFonts w:ascii="仿宋_GB2312" w:eastAsia="仿宋_GB2312" w:hint="eastAsia"/>
          <w:sz w:val="32"/>
          <w:szCs w:val="32"/>
        </w:rPr>
        <w:t>件、占</w:t>
      </w:r>
      <w:r w:rsidR="008D0CF0" w:rsidRPr="00D00EC9">
        <w:rPr>
          <w:rFonts w:ascii="仿宋_GB2312" w:eastAsia="仿宋_GB2312" w:hint="eastAsia"/>
          <w:sz w:val="32"/>
          <w:szCs w:val="32"/>
        </w:rPr>
        <w:t>17.07</w:t>
      </w:r>
      <w:r w:rsidR="00F4460F" w:rsidRPr="00D00EC9">
        <w:rPr>
          <w:rFonts w:ascii="仿宋_GB2312" w:eastAsia="仿宋_GB2312" w:hint="eastAsia"/>
          <w:sz w:val="32"/>
          <w:szCs w:val="32"/>
        </w:rPr>
        <w:t>%，特许经营合同案件</w:t>
      </w:r>
      <w:r w:rsidR="008D0CF0" w:rsidRPr="00D00EC9">
        <w:rPr>
          <w:rFonts w:ascii="仿宋_GB2312" w:eastAsia="仿宋_GB2312" w:hint="eastAsia"/>
          <w:sz w:val="32"/>
          <w:szCs w:val="32"/>
        </w:rPr>
        <w:t>487</w:t>
      </w:r>
      <w:r w:rsidR="00F4460F" w:rsidRPr="00D00EC9">
        <w:rPr>
          <w:rFonts w:ascii="仿宋_GB2312" w:eastAsia="仿宋_GB2312" w:hint="eastAsia"/>
          <w:sz w:val="32"/>
          <w:szCs w:val="32"/>
        </w:rPr>
        <w:t>件、占</w:t>
      </w:r>
      <w:r w:rsidR="008D0CF0" w:rsidRPr="00AC6B75">
        <w:rPr>
          <w:rFonts w:ascii="仿宋_GB2312" w:eastAsia="仿宋_GB2312" w:hint="eastAsia"/>
          <w:sz w:val="32"/>
          <w:szCs w:val="32"/>
        </w:rPr>
        <w:t>10.58</w:t>
      </w:r>
      <w:r w:rsidR="00F4460F" w:rsidRPr="00AC6B75">
        <w:rPr>
          <w:rFonts w:ascii="仿宋_GB2312" w:eastAsia="仿宋_GB2312" w:hint="eastAsia"/>
          <w:sz w:val="32"/>
          <w:szCs w:val="32"/>
        </w:rPr>
        <w:t>%，不正当竞争案件</w:t>
      </w:r>
      <w:r w:rsidR="008D0CF0" w:rsidRPr="00AC6B75">
        <w:rPr>
          <w:rFonts w:ascii="仿宋_GB2312" w:eastAsia="仿宋_GB2312" w:hint="eastAsia"/>
          <w:sz w:val="32"/>
          <w:szCs w:val="32"/>
        </w:rPr>
        <w:t>178</w:t>
      </w:r>
      <w:r w:rsidR="00F4460F" w:rsidRPr="00AC6B75">
        <w:rPr>
          <w:rFonts w:ascii="仿宋_GB2312" w:eastAsia="仿宋_GB2312" w:hint="eastAsia"/>
          <w:sz w:val="32"/>
          <w:szCs w:val="32"/>
        </w:rPr>
        <w:t>件、占</w:t>
      </w:r>
      <w:r w:rsidR="008D0CF0" w:rsidRPr="00AC6B75">
        <w:rPr>
          <w:rFonts w:ascii="仿宋_GB2312" w:eastAsia="仿宋_GB2312" w:hint="eastAsia"/>
          <w:sz w:val="32"/>
          <w:szCs w:val="32"/>
        </w:rPr>
        <w:t>3.87</w:t>
      </w:r>
      <w:r w:rsidR="00F4460F" w:rsidRPr="00AC6B75">
        <w:rPr>
          <w:rFonts w:ascii="仿宋_GB2312" w:eastAsia="仿宋_GB2312" w:hint="eastAsia"/>
          <w:sz w:val="32"/>
          <w:szCs w:val="32"/>
        </w:rPr>
        <w:t>%，</w:t>
      </w:r>
      <w:r w:rsidR="00D00EC9" w:rsidRPr="00AC6B75">
        <w:rPr>
          <w:rFonts w:ascii="仿宋_GB2312" w:eastAsia="仿宋_GB2312" w:hint="eastAsia"/>
          <w:sz w:val="32"/>
          <w:szCs w:val="32"/>
        </w:rPr>
        <w:t>技术合同案件112件、占2.43%，</w:t>
      </w:r>
      <w:r w:rsidR="003B2E85" w:rsidRPr="00AC6B75">
        <w:rPr>
          <w:rFonts w:ascii="仿宋_GB2312" w:eastAsia="仿宋_GB2312" w:hint="eastAsia"/>
          <w:sz w:val="32"/>
          <w:szCs w:val="32"/>
        </w:rPr>
        <w:t>其他案件</w:t>
      </w:r>
      <w:r w:rsidR="00AC6B75" w:rsidRPr="00AC6B75">
        <w:rPr>
          <w:rFonts w:ascii="仿宋_GB2312" w:eastAsia="仿宋_GB2312" w:hint="eastAsia"/>
          <w:sz w:val="32"/>
          <w:szCs w:val="32"/>
        </w:rPr>
        <w:t>281</w:t>
      </w:r>
      <w:r w:rsidR="003B2E85" w:rsidRPr="00AC6B75">
        <w:rPr>
          <w:rFonts w:ascii="仿宋_GB2312" w:eastAsia="仿宋_GB2312" w:hint="eastAsia"/>
          <w:sz w:val="32"/>
          <w:szCs w:val="32"/>
        </w:rPr>
        <w:t>件、占</w:t>
      </w:r>
      <w:r w:rsidR="00AC6B75" w:rsidRPr="00AC6B75">
        <w:rPr>
          <w:rFonts w:ascii="仿宋_GB2312" w:eastAsia="仿宋_GB2312" w:hint="eastAsia"/>
          <w:sz w:val="32"/>
          <w:szCs w:val="32"/>
        </w:rPr>
        <w:t>6.10</w:t>
      </w:r>
      <w:r w:rsidR="003B2E85" w:rsidRPr="00AC6B75">
        <w:rPr>
          <w:rFonts w:ascii="仿宋_GB2312" w:eastAsia="仿宋_GB2312" w:hint="eastAsia"/>
          <w:sz w:val="32"/>
          <w:szCs w:val="32"/>
        </w:rPr>
        <w:t>%</w:t>
      </w:r>
      <w:r w:rsidR="00F4460F" w:rsidRPr="00AC6B75">
        <w:rPr>
          <w:rFonts w:ascii="仿宋_GB2312" w:eastAsia="仿宋_GB2312" w:hint="eastAsia"/>
          <w:sz w:val="32"/>
          <w:szCs w:val="32"/>
        </w:rPr>
        <w:t>（见图</w:t>
      </w:r>
      <w:r w:rsidR="0077424D" w:rsidRPr="00AC6B75">
        <w:rPr>
          <w:rFonts w:ascii="仿宋_GB2312" w:eastAsia="仿宋_GB2312" w:hint="eastAsia"/>
          <w:sz w:val="32"/>
          <w:szCs w:val="32"/>
        </w:rPr>
        <w:t>5</w:t>
      </w:r>
      <w:r w:rsidR="00F4460F" w:rsidRPr="00AC6B75">
        <w:rPr>
          <w:rFonts w:ascii="仿宋_GB2312" w:eastAsia="仿宋_GB2312" w:hint="eastAsia"/>
          <w:sz w:val="32"/>
          <w:szCs w:val="32"/>
        </w:rPr>
        <w:t>）。</w:t>
      </w:r>
    </w:p>
    <w:p w:rsidR="00E57797" w:rsidRDefault="00E72D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noProof/>
          <w:kern w:val="0"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35172AA6" wp14:editId="54CBE8F6">
            <wp:simplePos x="0" y="0"/>
            <wp:positionH relativeFrom="margin">
              <wp:posOffset>648970</wp:posOffset>
            </wp:positionH>
            <wp:positionV relativeFrom="margin">
              <wp:posOffset>3783965</wp:posOffset>
            </wp:positionV>
            <wp:extent cx="4459605" cy="2363470"/>
            <wp:effectExtent l="0" t="0" r="0" b="0"/>
            <wp:wrapSquare wrapText="bothSides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797" w:rsidRDefault="00E577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7797" w:rsidRDefault="00E577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7797" w:rsidRDefault="00E577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7797" w:rsidRDefault="00E577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54935" w:rsidRDefault="00154935" w:rsidP="00E72D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A1588" w:rsidRDefault="005876FD" w:rsidP="00E72D0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0EC9">
        <w:rPr>
          <w:rFonts w:ascii="仿宋_GB2312" w:eastAsia="仿宋_GB2312" w:hint="eastAsia"/>
          <w:sz w:val="32"/>
          <w:szCs w:val="32"/>
        </w:rPr>
        <w:t>济南中院</w:t>
      </w:r>
      <w:r w:rsidR="00AA24E7">
        <w:rPr>
          <w:rFonts w:ascii="仿宋_GB2312" w:eastAsia="仿宋_GB2312" w:hint="eastAsia"/>
          <w:sz w:val="32"/>
          <w:szCs w:val="32"/>
        </w:rPr>
        <w:t>跨区</w:t>
      </w:r>
      <w:r w:rsidR="00AA24E7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域受理</w:t>
      </w:r>
      <w:r w:rsidR="00FC6B03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涉</w:t>
      </w:r>
      <w:r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专</w:t>
      </w:r>
      <w:r>
        <w:rPr>
          <w:rFonts w:ascii="仿宋_GB2312" w:eastAsia="仿宋_GB2312" w:hint="eastAsia"/>
          <w:sz w:val="32"/>
          <w:szCs w:val="32"/>
        </w:rPr>
        <w:t>利</w:t>
      </w:r>
      <w:r w:rsidR="00F4460F">
        <w:rPr>
          <w:rFonts w:ascii="仿宋_GB2312" w:eastAsia="仿宋_GB2312" w:hint="eastAsia"/>
          <w:sz w:val="32"/>
          <w:szCs w:val="32"/>
        </w:rPr>
        <w:t>、</w:t>
      </w:r>
      <w:r w:rsidR="00BA12C3">
        <w:rPr>
          <w:rFonts w:ascii="仿宋_GB2312" w:eastAsia="仿宋_GB2312" w:hint="eastAsia"/>
          <w:sz w:val="32"/>
          <w:szCs w:val="32"/>
        </w:rPr>
        <w:t>植物新品种</w:t>
      </w:r>
      <w:r w:rsidR="00F4460F">
        <w:rPr>
          <w:rFonts w:ascii="仿宋_GB2312" w:eastAsia="仿宋_GB2312" w:hint="eastAsia"/>
          <w:sz w:val="32"/>
          <w:szCs w:val="32"/>
        </w:rPr>
        <w:t>等专业技术性较强的</w:t>
      </w:r>
      <w:r w:rsidR="00F4460F" w:rsidRPr="008C2955">
        <w:rPr>
          <w:rFonts w:ascii="仿宋_GB2312" w:eastAsia="仿宋_GB2312" w:hint="eastAsia"/>
          <w:sz w:val="32"/>
          <w:szCs w:val="32"/>
        </w:rPr>
        <w:t>案件共</w:t>
      </w:r>
      <w:r w:rsidR="00433AD9">
        <w:rPr>
          <w:rFonts w:ascii="仿宋_GB2312" w:eastAsia="仿宋_GB2312" w:hint="eastAsia"/>
          <w:sz w:val="32"/>
          <w:szCs w:val="32"/>
        </w:rPr>
        <w:t>1336</w:t>
      </w:r>
      <w:r w:rsidR="00FD1356">
        <w:rPr>
          <w:rFonts w:ascii="仿宋_GB2312" w:eastAsia="仿宋_GB2312" w:hint="eastAsia"/>
          <w:sz w:val="32"/>
          <w:szCs w:val="32"/>
        </w:rPr>
        <w:t>件</w:t>
      </w:r>
      <w:r w:rsidR="00F4460F" w:rsidRPr="008C2955">
        <w:rPr>
          <w:rFonts w:ascii="仿宋_GB2312" w:eastAsia="仿宋_GB2312" w:hint="eastAsia"/>
          <w:sz w:val="32"/>
          <w:szCs w:val="32"/>
        </w:rPr>
        <w:t>。其中</w:t>
      </w:r>
      <w:r>
        <w:rPr>
          <w:rFonts w:ascii="仿宋_GB2312" w:eastAsia="仿宋_GB2312" w:hint="eastAsia"/>
          <w:sz w:val="32"/>
          <w:szCs w:val="32"/>
        </w:rPr>
        <w:t>，</w:t>
      </w:r>
      <w:r w:rsidR="00E72D04">
        <w:rPr>
          <w:rFonts w:ascii="仿宋_GB2312" w:eastAsia="仿宋_GB2312" w:hint="eastAsia"/>
          <w:sz w:val="32"/>
          <w:szCs w:val="32"/>
        </w:rPr>
        <w:t>发明专利权案件75件，实用新型专利权案件287件，</w:t>
      </w:r>
      <w:r w:rsidR="00F4460F">
        <w:rPr>
          <w:rFonts w:ascii="仿宋_GB2312" w:eastAsia="仿宋_GB2312" w:hint="eastAsia"/>
          <w:sz w:val="32"/>
          <w:szCs w:val="32"/>
        </w:rPr>
        <w:t>外观设计专利权案件</w:t>
      </w:r>
      <w:r w:rsidR="00433AD9">
        <w:rPr>
          <w:rFonts w:ascii="仿宋_GB2312" w:eastAsia="仿宋_GB2312" w:hint="eastAsia"/>
          <w:sz w:val="32"/>
          <w:szCs w:val="32"/>
        </w:rPr>
        <w:t>698</w:t>
      </w:r>
      <w:r>
        <w:rPr>
          <w:rFonts w:ascii="仿宋_GB2312" w:eastAsia="仿宋_GB2312" w:hint="eastAsia"/>
          <w:sz w:val="32"/>
          <w:szCs w:val="32"/>
        </w:rPr>
        <w:t>件，</w:t>
      </w:r>
      <w:r w:rsidR="00F4460F">
        <w:rPr>
          <w:rFonts w:ascii="仿宋_GB2312" w:eastAsia="仿宋_GB2312" w:hint="eastAsia"/>
          <w:sz w:val="32"/>
          <w:szCs w:val="32"/>
        </w:rPr>
        <w:t>专利权权属案件</w:t>
      </w:r>
      <w:r w:rsidR="00433AD9">
        <w:rPr>
          <w:rFonts w:ascii="仿宋_GB2312" w:eastAsia="仿宋_GB2312" w:hint="eastAsia"/>
          <w:sz w:val="32"/>
          <w:szCs w:val="32"/>
        </w:rPr>
        <w:t>151</w:t>
      </w:r>
      <w:r w:rsidR="00F4460F">
        <w:rPr>
          <w:rFonts w:ascii="仿宋_GB2312" w:eastAsia="仿宋_GB2312" w:hint="eastAsia"/>
          <w:sz w:val="32"/>
          <w:szCs w:val="32"/>
        </w:rPr>
        <w:t>件，计算机软件案件</w:t>
      </w:r>
      <w:r w:rsidR="00433AD9">
        <w:rPr>
          <w:rFonts w:ascii="仿宋_GB2312" w:eastAsia="仿宋_GB2312" w:hint="eastAsia"/>
          <w:sz w:val="32"/>
          <w:szCs w:val="32"/>
        </w:rPr>
        <w:t>61</w:t>
      </w:r>
      <w:r w:rsidR="00F4460F">
        <w:rPr>
          <w:rFonts w:ascii="仿宋_GB2312" w:eastAsia="仿宋_GB2312" w:hint="eastAsia"/>
          <w:sz w:val="32"/>
          <w:szCs w:val="32"/>
        </w:rPr>
        <w:t>件，植物新品种案件</w:t>
      </w:r>
      <w:r w:rsidR="00433AD9">
        <w:rPr>
          <w:rFonts w:ascii="仿宋_GB2312" w:eastAsia="仿宋_GB2312" w:hint="eastAsia"/>
          <w:sz w:val="32"/>
          <w:szCs w:val="32"/>
        </w:rPr>
        <w:t>58</w:t>
      </w:r>
      <w:r w:rsidR="00FC6B03">
        <w:rPr>
          <w:rFonts w:ascii="仿宋_GB2312" w:eastAsia="仿宋_GB2312" w:hint="eastAsia"/>
          <w:sz w:val="32"/>
          <w:szCs w:val="32"/>
        </w:rPr>
        <w:t>件，商业</w:t>
      </w:r>
      <w:r w:rsidR="00F4460F">
        <w:rPr>
          <w:rFonts w:ascii="仿宋_GB2312" w:eastAsia="仿宋_GB2312" w:hint="eastAsia"/>
          <w:sz w:val="32"/>
          <w:szCs w:val="32"/>
        </w:rPr>
        <w:t>秘密等其他案件</w:t>
      </w:r>
      <w:r w:rsidR="00433AD9">
        <w:rPr>
          <w:rFonts w:ascii="仿宋_GB2312" w:eastAsia="仿宋_GB2312" w:hint="eastAsia"/>
          <w:sz w:val="32"/>
          <w:szCs w:val="32"/>
        </w:rPr>
        <w:t>6</w:t>
      </w:r>
      <w:r w:rsidR="00F4460F">
        <w:rPr>
          <w:rFonts w:ascii="仿宋_GB2312" w:eastAsia="仿宋_GB2312" w:hint="eastAsia"/>
          <w:sz w:val="32"/>
          <w:szCs w:val="32"/>
        </w:rPr>
        <w:t>件（见图</w:t>
      </w:r>
      <w:r w:rsidR="0077424D">
        <w:rPr>
          <w:rFonts w:ascii="仿宋_GB2312" w:eastAsia="仿宋_GB2312" w:hint="eastAsia"/>
          <w:sz w:val="32"/>
          <w:szCs w:val="32"/>
        </w:rPr>
        <w:t>6</w:t>
      </w:r>
      <w:r w:rsidR="00F4460F">
        <w:rPr>
          <w:rFonts w:ascii="仿宋_GB2312" w:eastAsia="仿宋_GB2312" w:hint="eastAsia"/>
          <w:sz w:val="32"/>
          <w:szCs w:val="32"/>
        </w:rPr>
        <w:t>）。</w:t>
      </w:r>
    </w:p>
    <w:p w:rsidR="007A1588" w:rsidRPr="005876FD" w:rsidRDefault="00297B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Arial" w:hint="eastAsia"/>
          <w:noProof/>
          <w:kern w:val="0"/>
          <w:sz w:val="32"/>
          <w:szCs w:val="32"/>
        </w:rPr>
        <w:lastRenderedPageBreak/>
        <w:drawing>
          <wp:anchor distT="0" distB="0" distL="114300" distR="114300" simplePos="0" relativeHeight="251659776" behindDoc="0" locked="0" layoutInCell="1" allowOverlap="1" wp14:anchorId="7D7BB466" wp14:editId="0DC4A7CA">
            <wp:simplePos x="0" y="0"/>
            <wp:positionH relativeFrom="margin">
              <wp:posOffset>66040</wp:posOffset>
            </wp:positionH>
            <wp:positionV relativeFrom="paragraph">
              <wp:posOffset>71120</wp:posOffset>
            </wp:positionV>
            <wp:extent cx="5181600" cy="2305050"/>
            <wp:effectExtent l="0" t="0" r="0" b="0"/>
            <wp:wrapSquare wrapText="bothSides"/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797" w:rsidRDefault="00E577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7797" w:rsidRDefault="00E577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7797" w:rsidRDefault="00E577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7797" w:rsidRDefault="00E577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7797" w:rsidRDefault="00E5779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C299C" w:rsidRDefault="005C299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A1588" w:rsidRPr="00762A4A" w:rsidRDefault="00AA24E7">
      <w:pPr>
        <w:spacing w:line="560" w:lineRule="exact"/>
        <w:ind w:firstLineChars="200" w:firstLine="640"/>
        <w:rPr>
          <w:rFonts w:ascii="仿宋_GB2312" w:eastAsia="仿宋_GB2312"/>
          <w:color w:val="0D0D0D" w:themeColor="text1" w:themeTint="F2"/>
          <w:sz w:val="32"/>
          <w:szCs w:val="32"/>
        </w:rPr>
      </w:pPr>
      <w:r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全市</w:t>
      </w:r>
      <w:r w:rsidRPr="00762A4A">
        <w:rPr>
          <w:rFonts w:ascii="仿宋_GB2312" w:eastAsia="仿宋_GB2312"/>
          <w:color w:val="0D0D0D" w:themeColor="text1" w:themeTint="F2"/>
          <w:sz w:val="32"/>
          <w:szCs w:val="32"/>
        </w:rPr>
        <w:t>法院</w:t>
      </w:r>
      <w:r w:rsidR="00F4460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共受理涉外及涉港、澳、台一审知识产权民事案件</w:t>
      </w:r>
      <w:r w:rsidR="000A131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52</w:t>
      </w:r>
      <w:r w:rsidR="00F4460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件，受疫情影响同比下降</w:t>
      </w:r>
      <w:r w:rsidR="000A131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36.59</w:t>
      </w:r>
      <w:r w:rsidR="00F4460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%。其中</w:t>
      </w:r>
      <w:r w:rsidR="004D3877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:</w:t>
      </w:r>
      <w:r w:rsidR="000A288B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韩国20件，法国8件，日本6件，</w:t>
      </w:r>
      <w:r w:rsidR="00EA0F2D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中国</w:t>
      </w:r>
      <w:r w:rsidR="00F4460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香港地区</w:t>
      </w:r>
      <w:r w:rsidR="000A131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6</w:t>
      </w:r>
      <w:r w:rsidR="00F4460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件，</w:t>
      </w:r>
      <w:r w:rsidR="000A288B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英国5件，美国4件，</w:t>
      </w:r>
      <w:r w:rsidR="009A2A50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中国台湾地区1件；其他国家</w:t>
      </w:r>
      <w:r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及</w:t>
      </w:r>
      <w:r w:rsidRPr="00762A4A">
        <w:rPr>
          <w:rFonts w:ascii="仿宋_GB2312" w:eastAsia="仿宋_GB2312"/>
          <w:color w:val="0D0D0D" w:themeColor="text1" w:themeTint="F2"/>
          <w:sz w:val="32"/>
          <w:szCs w:val="32"/>
        </w:rPr>
        <w:t>地区</w:t>
      </w:r>
      <w:r w:rsidR="009A2A50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2件</w:t>
      </w:r>
      <w:r w:rsidR="00F96CEA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（见图</w:t>
      </w:r>
      <w:r w:rsidR="0077424D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7</w:t>
      </w:r>
      <w:r w:rsidR="00F96CEA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）</w:t>
      </w:r>
      <w:r w:rsidR="00F4460F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。</w:t>
      </w:r>
    </w:p>
    <w:p w:rsidR="00E57797" w:rsidRDefault="005876FD">
      <w:pPr>
        <w:spacing w:line="560" w:lineRule="exact"/>
        <w:ind w:firstLineChars="200" w:firstLine="640"/>
        <w:rPr>
          <w:rFonts w:ascii="仿宋_GB2312" w:eastAsia="仿宋_GB2312" w:hAnsi="Arial" w:cs="Arial"/>
          <w:noProof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noProof/>
          <w:kern w:val="0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18CD0BA" wp14:editId="4230662F">
            <wp:simplePos x="0" y="0"/>
            <wp:positionH relativeFrom="margin">
              <wp:posOffset>537210</wp:posOffset>
            </wp:positionH>
            <wp:positionV relativeFrom="paragraph">
              <wp:posOffset>168910</wp:posOffset>
            </wp:positionV>
            <wp:extent cx="4411980" cy="2562225"/>
            <wp:effectExtent l="0" t="0" r="0" b="0"/>
            <wp:wrapSquare wrapText="bothSides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6FD" w:rsidRDefault="005876F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7797" w:rsidRDefault="00E57797" w:rsidP="002744D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7797" w:rsidRDefault="00E57797" w:rsidP="002744D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7797" w:rsidRDefault="00E57797" w:rsidP="002744D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7797" w:rsidRDefault="00E57797" w:rsidP="002744D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57797" w:rsidRDefault="00E57797" w:rsidP="002744D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102C2" w:rsidRDefault="00F4460F" w:rsidP="00F630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5661">
        <w:rPr>
          <w:rFonts w:ascii="仿宋_GB2312" w:eastAsia="仿宋_GB2312" w:hint="eastAsia"/>
          <w:color w:val="000000" w:themeColor="text1"/>
          <w:sz w:val="32"/>
          <w:szCs w:val="32"/>
        </w:rPr>
        <w:t>202</w:t>
      </w:r>
      <w:r w:rsidR="003D0738"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 w:rsidR="00D50AA5">
        <w:rPr>
          <w:rFonts w:ascii="仿宋_GB2312" w:eastAsia="仿宋_GB2312" w:hint="eastAsia"/>
          <w:color w:val="000000" w:themeColor="text1"/>
          <w:sz w:val="32"/>
          <w:szCs w:val="32"/>
        </w:rPr>
        <w:t>年，济南知识产权司法保护工作呈现出</w:t>
      </w:r>
      <w:r w:rsidR="00DE19CF">
        <w:rPr>
          <w:rFonts w:ascii="仿宋_GB2312" w:eastAsia="仿宋_GB2312" w:hint="eastAsia"/>
          <w:color w:val="000000" w:themeColor="text1"/>
          <w:sz w:val="32"/>
          <w:szCs w:val="32"/>
        </w:rPr>
        <w:t>四</w:t>
      </w:r>
      <w:r w:rsidRPr="00142294">
        <w:rPr>
          <w:rFonts w:ascii="仿宋_GB2312" w:eastAsia="仿宋_GB2312" w:hint="eastAsia"/>
          <w:sz w:val="32"/>
          <w:szCs w:val="32"/>
        </w:rPr>
        <w:t>个特点：</w:t>
      </w:r>
      <w:r w:rsidR="00011DD8" w:rsidRPr="00142294">
        <w:rPr>
          <w:rFonts w:ascii="仿宋_GB2312" w:eastAsia="仿宋_GB2312" w:hint="eastAsia"/>
          <w:b/>
          <w:sz w:val="32"/>
          <w:szCs w:val="32"/>
        </w:rPr>
        <w:t>一是</w:t>
      </w:r>
      <w:r w:rsidR="00BA12C3">
        <w:rPr>
          <w:rFonts w:ascii="仿宋_GB2312" w:eastAsia="仿宋_GB2312" w:hint="eastAsia"/>
          <w:b/>
          <w:sz w:val="32"/>
          <w:szCs w:val="32"/>
        </w:rPr>
        <w:t>总体受理案件数量下降</w:t>
      </w:r>
      <w:r w:rsidR="00274AAE" w:rsidRPr="00142294">
        <w:rPr>
          <w:rFonts w:ascii="仿宋_GB2312" w:eastAsia="仿宋_GB2312" w:hint="eastAsia"/>
          <w:b/>
          <w:sz w:val="32"/>
          <w:szCs w:val="32"/>
        </w:rPr>
        <w:t>。</w:t>
      </w:r>
      <w:r w:rsidR="00D50AA5" w:rsidRPr="00142294">
        <w:rPr>
          <w:rFonts w:ascii="仿宋_GB2312" w:eastAsia="仿宋_GB2312" w:hint="eastAsia"/>
          <w:sz w:val="32"/>
          <w:szCs w:val="32"/>
        </w:rPr>
        <w:t>2017年</w:t>
      </w:r>
      <w:r w:rsidR="00D50AA5" w:rsidRPr="00142294">
        <w:rPr>
          <w:rFonts w:ascii="仿宋_GB2312" w:eastAsia="仿宋_GB2312"/>
          <w:sz w:val="32"/>
          <w:szCs w:val="32"/>
        </w:rPr>
        <w:t>至</w:t>
      </w:r>
      <w:r w:rsidR="00D50AA5" w:rsidRPr="00142294">
        <w:rPr>
          <w:rFonts w:ascii="仿宋_GB2312" w:eastAsia="仿宋_GB2312" w:hint="eastAsia"/>
          <w:sz w:val="32"/>
          <w:szCs w:val="32"/>
        </w:rPr>
        <w:t>2020年</w:t>
      </w:r>
      <w:r w:rsidR="00D50AA5" w:rsidRPr="00142294">
        <w:rPr>
          <w:rFonts w:ascii="仿宋_GB2312" w:eastAsia="仿宋_GB2312"/>
          <w:sz w:val="32"/>
          <w:szCs w:val="32"/>
        </w:rPr>
        <w:t>全市知识产权案件</w:t>
      </w:r>
      <w:r w:rsidR="00D50AA5" w:rsidRPr="00142294">
        <w:rPr>
          <w:rFonts w:ascii="仿宋_GB2312" w:eastAsia="仿宋_GB2312" w:hint="eastAsia"/>
          <w:sz w:val="32"/>
          <w:szCs w:val="32"/>
        </w:rPr>
        <w:t>数量</w:t>
      </w:r>
      <w:r w:rsidR="005714F7">
        <w:rPr>
          <w:rFonts w:ascii="仿宋_GB2312" w:eastAsia="仿宋_GB2312" w:hint="eastAsia"/>
          <w:sz w:val="32"/>
          <w:szCs w:val="32"/>
        </w:rPr>
        <w:t>高速</w:t>
      </w:r>
      <w:r w:rsidR="005714F7">
        <w:rPr>
          <w:rFonts w:ascii="仿宋_GB2312" w:eastAsia="仿宋_GB2312"/>
          <w:sz w:val="32"/>
          <w:szCs w:val="32"/>
        </w:rPr>
        <w:t>增长</w:t>
      </w:r>
      <w:r w:rsidR="00D50AA5" w:rsidRPr="00142294">
        <w:rPr>
          <w:rFonts w:ascii="仿宋_GB2312" w:eastAsia="仿宋_GB2312"/>
          <w:sz w:val="32"/>
          <w:szCs w:val="32"/>
        </w:rPr>
        <w:t>，年均递增</w:t>
      </w:r>
      <w:r w:rsidR="00142294">
        <w:rPr>
          <w:rFonts w:ascii="仿宋_GB2312" w:eastAsia="仿宋_GB2312" w:hint="eastAsia"/>
          <w:sz w:val="32"/>
          <w:szCs w:val="32"/>
        </w:rPr>
        <w:t>46.02%</w:t>
      </w:r>
      <w:r w:rsidR="00D50AA5" w:rsidRPr="00142294">
        <w:rPr>
          <w:rFonts w:ascii="仿宋_GB2312" w:eastAsia="仿宋_GB2312" w:hint="eastAsia"/>
          <w:sz w:val="32"/>
          <w:szCs w:val="32"/>
        </w:rPr>
        <w:t>，2020年</w:t>
      </w:r>
      <w:r w:rsidR="00D50AA5" w:rsidRPr="00142294">
        <w:rPr>
          <w:rFonts w:ascii="仿宋_GB2312" w:eastAsia="仿宋_GB2312"/>
          <w:sz w:val="32"/>
          <w:szCs w:val="32"/>
        </w:rPr>
        <w:t>达</w:t>
      </w:r>
      <w:r w:rsidR="00142294">
        <w:rPr>
          <w:rFonts w:ascii="仿宋_GB2312" w:eastAsia="仿宋_GB2312" w:hint="eastAsia"/>
          <w:sz w:val="32"/>
          <w:szCs w:val="32"/>
        </w:rPr>
        <w:t>5294</w:t>
      </w:r>
      <w:r w:rsidR="00D50AA5" w:rsidRPr="00142294">
        <w:rPr>
          <w:rFonts w:ascii="仿宋_GB2312" w:eastAsia="仿宋_GB2312" w:hint="eastAsia"/>
          <w:sz w:val="32"/>
          <w:szCs w:val="32"/>
        </w:rPr>
        <w:t>件</w:t>
      </w:r>
      <w:r w:rsidR="00D50AA5" w:rsidRPr="00142294">
        <w:rPr>
          <w:rFonts w:ascii="仿宋_GB2312" w:eastAsia="仿宋_GB2312"/>
          <w:sz w:val="32"/>
          <w:szCs w:val="32"/>
        </w:rPr>
        <w:t>，</w:t>
      </w:r>
      <w:r w:rsidR="00D50AA5" w:rsidRPr="00142294">
        <w:rPr>
          <w:rFonts w:ascii="仿宋_GB2312" w:eastAsia="仿宋_GB2312" w:hint="eastAsia"/>
          <w:sz w:val="32"/>
          <w:szCs w:val="32"/>
        </w:rPr>
        <w:t>2021年</w:t>
      </w:r>
      <w:r w:rsidR="00D50AA5" w:rsidRPr="00142294">
        <w:rPr>
          <w:rFonts w:ascii="仿宋_GB2312" w:eastAsia="仿宋_GB2312"/>
          <w:sz w:val="32"/>
          <w:szCs w:val="32"/>
        </w:rPr>
        <w:t>案件数量</w:t>
      </w:r>
      <w:r w:rsidR="005714F7">
        <w:rPr>
          <w:rFonts w:ascii="仿宋_GB2312" w:eastAsia="仿宋_GB2312" w:hint="eastAsia"/>
          <w:sz w:val="32"/>
          <w:szCs w:val="32"/>
        </w:rPr>
        <w:t>开始</w:t>
      </w:r>
      <w:r w:rsidR="00D50AA5" w:rsidRPr="00142294">
        <w:rPr>
          <w:rFonts w:ascii="仿宋_GB2312" w:eastAsia="仿宋_GB2312" w:hint="eastAsia"/>
          <w:sz w:val="32"/>
          <w:szCs w:val="32"/>
        </w:rPr>
        <w:t>下降，降幅</w:t>
      </w:r>
      <w:r w:rsidR="00D50AA5" w:rsidRPr="00142294">
        <w:rPr>
          <w:rFonts w:ascii="仿宋_GB2312" w:eastAsia="仿宋_GB2312"/>
          <w:sz w:val="32"/>
          <w:szCs w:val="32"/>
        </w:rPr>
        <w:t>达</w:t>
      </w:r>
      <w:r w:rsidR="00142294">
        <w:rPr>
          <w:rFonts w:ascii="仿宋_GB2312" w:eastAsia="仿宋_GB2312" w:hint="eastAsia"/>
          <w:sz w:val="32"/>
          <w:szCs w:val="32"/>
        </w:rPr>
        <w:t>13.03%</w:t>
      </w:r>
      <w:r w:rsidR="00D50AA5" w:rsidRPr="00142294">
        <w:rPr>
          <w:rFonts w:ascii="仿宋_GB2312" w:eastAsia="仿宋_GB2312" w:hint="eastAsia"/>
          <w:sz w:val="32"/>
          <w:szCs w:val="32"/>
        </w:rPr>
        <w:t>。</w:t>
      </w:r>
      <w:r w:rsidR="00274AAE" w:rsidRPr="00142294">
        <w:rPr>
          <w:rFonts w:ascii="仿宋_GB2312" w:eastAsia="仿宋_GB2312" w:hint="eastAsia"/>
          <w:b/>
          <w:sz w:val="32"/>
          <w:szCs w:val="32"/>
        </w:rPr>
        <w:t>二是</w:t>
      </w:r>
      <w:r w:rsidR="00882FC1" w:rsidRPr="00142294">
        <w:rPr>
          <w:rFonts w:ascii="仿宋_GB2312" w:eastAsia="仿宋_GB2312" w:hint="eastAsia"/>
          <w:b/>
          <w:sz w:val="32"/>
          <w:szCs w:val="32"/>
        </w:rPr>
        <w:t>专业</w:t>
      </w:r>
      <w:r w:rsidR="00CC512D" w:rsidRPr="00142294">
        <w:rPr>
          <w:rFonts w:ascii="仿宋_GB2312" w:eastAsia="仿宋_GB2312" w:hint="eastAsia"/>
          <w:b/>
          <w:sz w:val="32"/>
          <w:szCs w:val="32"/>
        </w:rPr>
        <w:t>技术性</w:t>
      </w:r>
      <w:r w:rsidR="00885DE3">
        <w:rPr>
          <w:rFonts w:ascii="仿宋_GB2312" w:eastAsia="仿宋_GB2312" w:hint="eastAsia"/>
          <w:b/>
          <w:sz w:val="32"/>
          <w:szCs w:val="32"/>
        </w:rPr>
        <w:t>较强案件</w:t>
      </w:r>
      <w:r w:rsidR="008A569D" w:rsidRPr="00142294">
        <w:rPr>
          <w:rFonts w:ascii="仿宋_GB2312" w:eastAsia="仿宋_GB2312" w:hint="eastAsia"/>
          <w:b/>
          <w:sz w:val="32"/>
          <w:szCs w:val="32"/>
        </w:rPr>
        <w:t>比重</w:t>
      </w:r>
      <w:r w:rsidR="00BA12C3">
        <w:rPr>
          <w:rFonts w:ascii="仿宋_GB2312" w:eastAsia="仿宋_GB2312" w:hint="eastAsia"/>
          <w:b/>
          <w:sz w:val="32"/>
          <w:szCs w:val="32"/>
        </w:rPr>
        <w:t>提升</w:t>
      </w:r>
      <w:r w:rsidR="000611FE" w:rsidRPr="003A2431">
        <w:rPr>
          <w:rFonts w:ascii="仿宋_GB2312" w:eastAsia="仿宋_GB2312" w:hint="eastAsia"/>
          <w:b/>
          <w:sz w:val="32"/>
          <w:szCs w:val="32"/>
        </w:rPr>
        <w:t>。</w:t>
      </w:r>
      <w:r w:rsidR="005714F7" w:rsidRPr="003A2431">
        <w:rPr>
          <w:rFonts w:ascii="仿宋_GB2312" w:eastAsia="仿宋_GB2312" w:hint="eastAsia"/>
          <w:sz w:val="32"/>
          <w:szCs w:val="32"/>
        </w:rPr>
        <w:t>济南</w:t>
      </w:r>
      <w:r w:rsidR="0093069C" w:rsidRPr="003A2431">
        <w:rPr>
          <w:rFonts w:ascii="仿宋_GB2312" w:eastAsia="仿宋_GB2312"/>
          <w:sz w:val="32"/>
          <w:szCs w:val="32"/>
        </w:rPr>
        <w:t>中院跨区域受理</w:t>
      </w:r>
      <w:r w:rsidR="0093069C" w:rsidRPr="003A2431">
        <w:rPr>
          <w:rFonts w:ascii="仿宋_GB2312" w:eastAsia="仿宋_GB2312" w:hint="eastAsia"/>
          <w:sz w:val="32"/>
          <w:szCs w:val="32"/>
        </w:rPr>
        <w:t>山东</w:t>
      </w:r>
      <w:r w:rsidR="0093069C" w:rsidRPr="003A2431">
        <w:rPr>
          <w:rFonts w:ascii="仿宋_GB2312" w:eastAsia="仿宋_GB2312"/>
          <w:sz w:val="32"/>
          <w:szCs w:val="32"/>
        </w:rPr>
        <w:t>中西部十市技术类案件</w:t>
      </w:r>
      <w:r w:rsidR="008A569D" w:rsidRPr="003A2431">
        <w:rPr>
          <w:rFonts w:ascii="仿宋_GB2312" w:eastAsia="仿宋_GB2312"/>
          <w:sz w:val="32"/>
          <w:szCs w:val="32"/>
        </w:rPr>
        <w:t>达</w:t>
      </w:r>
      <w:r w:rsidR="00142294" w:rsidRPr="003A2431">
        <w:rPr>
          <w:rFonts w:ascii="仿宋_GB2312" w:eastAsia="仿宋_GB2312" w:hint="eastAsia"/>
          <w:sz w:val="32"/>
          <w:szCs w:val="32"/>
        </w:rPr>
        <w:t>1336</w:t>
      </w:r>
      <w:r w:rsidR="008A569D" w:rsidRPr="003A2431">
        <w:rPr>
          <w:rFonts w:ascii="仿宋_GB2312" w:eastAsia="仿宋_GB2312" w:hint="eastAsia"/>
          <w:sz w:val="32"/>
          <w:szCs w:val="32"/>
        </w:rPr>
        <w:t>件</w:t>
      </w:r>
      <w:r w:rsidR="00BA12C3">
        <w:rPr>
          <w:rFonts w:ascii="仿宋_GB2312" w:eastAsia="仿宋_GB2312" w:hint="eastAsia"/>
          <w:sz w:val="32"/>
          <w:szCs w:val="32"/>
        </w:rPr>
        <w:t>，</w:t>
      </w:r>
      <w:r w:rsidR="005714F7" w:rsidRPr="003A2431">
        <w:rPr>
          <w:rFonts w:ascii="仿宋_GB2312" w:eastAsia="仿宋_GB2312" w:hint="eastAsia"/>
          <w:sz w:val="32"/>
          <w:szCs w:val="32"/>
        </w:rPr>
        <w:lastRenderedPageBreak/>
        <w:t>同比增长</w:t>
      </w:r>
      <w:r w:rsidR="003A2431" w:rsidRPr="003A2431">
        <w:rPr>
          <w:rFonts w:ascii="仿宋_GB2312" w:eastAsia="仿宋_GB2312"/>
          <w:sz w:val="32"/>
          <w:szCs w:val="32"/>
        </w:rPr>
        <w:t>18.44</w:t>
      </w:r>
      <w:r w:rsidR="00BA12C3">
        <w:rPr>
          <w:rFonts w:ascii="仿宋_GB2312" w:eastAsia="仿宋_GB2312" w:hint="eastAsia"/>
          <w:sz w:val="32"/>
          <w:szCs w:val="32"/>
        </w:rPr>
        <w:t>%</w:t>
      </w:r>
      <w:r w:rsidR="005714F7" w:rsidRPr="003A2431">
        <w:rPr>
          <w:rFonts w:ascii="仿宋_GB2312" w:eastAsia="仿宋_GB2312" w:hint="eastAsia"/>
          <w:sz w:val="32"/>
          <w:szCs w:val="32"/>
        </w:rPr>
        <w:t>，占</w:t>
      </w:r>
      <w:r w:rsidR="004B531D" w:rsidRPr="003A2431">
        <w:rPr>
          <w:rFonts w:ascii="仿宋_GB2312" w:eastAsia="仿宋_GB2312" w:hint="eastAsia"/>
          <w:sz w:val="32"/>
          <w:szCs w:val="32"/>
        </w:rPr>
        <w:t>中院</w:t>
      </w:r>
      <w:r w:rsidR="00581E49" w:rsidRPr="003A2431">
        <w:rPr>
          <w:rFonts w:ascii="仿宋_GB2312" w:eastAsia="仿宋_GB2312" w:hint="eastAsia"/>
          <w:sz w:val="32"/>
          <w:szCs w:val="32"/>
        </w:rPr>
        <w:t>知识</w:t>
      </w:r>
      <w:r w:rsidR="00581E49" w:rsidRPr="003A2431">
        <w:rPr>
          <w:rFonts w:ascii="仿宋_GB2312" w:eastAsia="仿宋_GB2312"/>
          <w:sz w:val="32"/>
          <w:szCs w:val="32"/>
        </w:rPr>
        <w:t>产权案件</w:t>
      </w:r>
      <w:r w:rsidR="00297BB2" w:rsidRPr="003A2431">
        <w:rPr>
          <w:rFonts w:ascii="仿宋_GB2312" w:eastAsia="仿宋_GB2312" w:hint="eastAsia"/>
          <w:sz w:val="32"/>
          <w:szCs w:val="32"/>
        </w:rPr>
        <w:t>总数</w:t>
      </w:r>
      <w:r w:rsidR="004B531D" w:rsidRPr="003A2431">
        <w:rPr>
          <w:rFonts w:ascii="仿宋_GB2312" w:eastAsia="仿宋_GB2312" w:hint="eastAsia"/>
          <w:sz w:val="32"/>
          <w:szCs w:val="32"/>
        </w:rPr>
        <w:t>的</w:t>
      </w:r>
      <w:r w:rsidR="003A2431" w:rsidRPr="003A2431">
        <w:rPr>
          <w:rFonts w:ascii="仿宋_GB2312" w:eastAsia="仿宋_GB2312" w:hint="eastAsia"/>
          <w:sz w:val="32"/>
          <w:szCs w:val="32"/>
        </w:rPr>
        <w:t>65.17%</w:t>
      </w:r>
      <w:r w:rsidR="008A569D" w:rsidRPr="003A2431">
        <w:rPr>
          <w:rFonts w:ascii="仿宋_GB2312" w:eastAsia="仿宋_GB2312" w:hint="eastAsia"/>
          <w:sz w:val="32"/>
          <w:szCs w:val="32"/>
        </w:rPr>
        <w:t>，</w:t>
      </w:r>
      <w:r w:rsidR="008A569D" w:rsidRPr="003A2431">
        <w:rPr>
          <w:rFonts w:ascii="仿宋_GB2312" w:eastAsia="仿宋_GB2312"/>
          <w:sz w:val="32"/>
          <w:szCs w:val="32"/>
        </w:rPr>
        <w:t>其</w:t>
      </w:r>
      <w:r w:rsidR="008A569D" w:rsidRPr="00142294">
        <w:rPr>
          <w:rFonts w:ascii="仿宋_GB2312" w:eastAsia="仿宋_GB2312"/>
          <w:sz w:val="32"/>
          <w:szCs w:val="32"/>
        </w:rPr>
        <w:t>中</w:t>
      </w:r>
      <w:r w:rsidR="008A569D" w:rsidRPr="00142294">
        <w:rPr>
          <w:rFonts w:ascii="仿宋_GB2312" w:eastAsia="仿宋_GB2312" w:hint="eastAsia"/>
          <w:sz w:val="32"/>
          <w:szCs w:val="32"/>
        </w:rPr>
        <w:t>植物</w:t>
      </w:r>
      <w:r w:rsidR="008A569D" w:rsidRPr="00142294">
        <w:rPr>
          <w:rFonts w:ascii="仿宋_GB2312" w:eastAsia="仿宋_GB2312"/>
          <w:sz w:val="32"/>
          <w:szCs w:val="32"/>
        </w:rPr>
        <w:t>新品种案件数量达</w:t>
      </w:r>
      <w:r w:rsidR="00142294">
        <w:rPr>
          <w:rFonts w:ascii="仿宋_GB2312" w:eastAsia="仿宋_GB2312" w:hint="eastAsia"/>
          <w:sz w:val="32"/>
          <w:szCs w:val="32"/>
        </w:rPr>
        <w:t>58</w:t>
      </w:r>
      <w:r w:rsidR="008A569D" w:rsidRPr="00142294">
        <w:rPr>
          <w:rFonts w:ascii="仿宋_GB2312" w:eastAsia="仿宋_GB2312" w:hint="eastAsia"/>
          <w:sz w:val="32"/>
          <w:szCs w:val="32"/>
        </w:rPr>
        <w:t>件</w:t>
      </w:r>
      <w:r w:rsidR="008A569D" w:rsidRPr="00142294">
        <w:rPr>
          <w:rFonts w:ascii="仿宋_GB2312" w:eastAsia="仿宋_GB2312"/>
          <w:sz w:val="32"/>
          <w:szCs w:val="32"/>
        </w:rPr>
        <w:t>，</w:t>
      </w:r>
      <w:r w:rsidR="00BA12C3">
        <w:rPr>
          <w:rFonts w:ascii="仿宋_GB2312" w:eastAsia="仿宋_GB2312" w:hint="eastAsia"/>
          <w:sz w:val="32"/>
          <w:szCs w:val="32"/>
        </w:rPr>
        <w:t>同比增长427.27%，</w:t>
      </w:r>
      <w:r w:rsidR="008A569D" w:rsidRPr="00142294">
        <w:rPr>
          <w:rFonts w:ascii="仿宋_GB2312" w:eastAsia="仿宋_GB2312"/>
          <w:sz w:val="32"/>
          <w:szCs w:val="32"/>
        </w:rPr>
        <w:t>创历年来新高。</w:t>
      </w:r>
      <w:r w:rsidR="008A569D" w:rsidRPr="00142294">
        <w:rPr>
          <w:rFonts w:ascii="仿宋_GB2312" w:eastAsia="仿宋_GB2312" w:hint="eastAsia"/>
          <w:b/>
          <w:sz w:val="32"/>
          <w:szCs w:val="32"/>
        </w:rPr>
        <w:t>三是案件</w:t>
      </w:r>
      <w:r w:rsidR="008A569D" w:rsidRPr="00142294">
        <w:rPr>
          <w:rFonts w:ascii="仿宋_GB2312" w:eastAsia="仿宋_GB2312"/>
          <w:b/>
          <w:sz w:val="32"/>
          <w:szCs w:val="32"/>
        </w:rPr>
        <w:t>办理难度进一步</w:t>
      </w:r>
      <w:r w:rsidR="00BA12C3">
        <w:rPr>
          <w:rFonts w:ascii="仿宋_GB2312" w:eastAsia="仿宋_GB2312" w:hint="eastAsia"/>
          <w:b/>
          <w:sz w:val="32"/>
          <w:szCs w:val="32"/>
        </w:rPr>
        <w:t>加大</w:t>
      </w:r>
      <w:r w:rsidR="008A569D" w:rsidRPr="00142294">
        <w:rPr>
          <w:rFonts w:ascii="仿宋_GB2312" w:eastAsia="仿宋_GB2312"/>
          <w:b/>
          <w:sz w:val="32"/>
          <w:szCs w:val="32"/>
        </w:rPr>
        <w:t>。</w:t>
      </w:r>
      <w:r w:rsidR="003736D9" w:rsidRPr="00142294">
        <w:rPr>
          <w:rFonts w:ascii="仿宋_GB2312" w:eastAsia="仿宋_GB2312" w:hint="eastAsia"/>
          <w:sz w:val="32"/>
          <w:szCs w:val="32"/>
        </w:rPr>
        <w:t>案件涉及生物医药、</w:t>
      </w:r>
      <w:r w:rsidR="002A7B60">
        <w:rPr>
          <w:rFonts w:ascii="仿宋_GB2312" w:eastAsia="仿宋_GB2312" w:hint="eastAsia"/>
          <w:sz w:val="32"/>
          <w:szCs w:val="32"/>
        </w:rPr>
        <w:t>数字机电</w:t>
      </w:r>
      <w:r w:rsidR="003736D9" w:rsidRPr="00142294">
        <w:rPr>
          <w:rFonts w:ascii="仿宋_GB2312" w:eastAsia="仿宋_GB2312" w:hint="eastAsia"/>
          <w:sz w:val="32"/>
          <w:szCs w:val="32"/>
        </w:rPr>
        <w:t>等多领域专业技术，</w:t>
      </w:r>
      <w:r w:rsidR="005714F7">
        <w:rPr>
          <w:rFonts w:ascii="仿宋_GB2312" w:eastAsia="仿宋_GB2312" w:hint="eastAsia"/>
          <w:sz w:val="32"/>
          <w:szCs w:val="32"/>
        </w:rPr>
        <w:t>分析研判难度显著提升，</w:t>
      </w:r>
      <w:r w:rsidR="00AA24E7">
        <w:rPr>
          <w:rFonts w:ascii="仿宋_GB2312" w:eastAsia="仿宋_GB2312" w:hint="eastAsia"/>
          <w:sz w:val="32"/>
          <w:szCs w:val="32"/>
        </w:rPr>
        <w:t>权利人的赔偿期望</w:t>
      </w:r>
      <w:r w:rsidR="005714F7">
        <w:rPr>
          <w:rFonts w:ascii="仿宋_GB2312" w:eastAsia="仿宋_GB2312" w:hint="eastAsia"/>
          <w:sz w:val="32"/>
          <w:szCs w:val="32"/>
        </w:rPr>
        <w:t>值提高，</w:t>
      </w:r>
      <w:r w:rsidR="00AA24E7">
        <w:rPr>
          <w:rFonts w:ascii="仿宋_GB2312" w:eastAsia="仿宋_GB2312" w:hint="eastAsia"/>
          <w:sz w:val="32"/>
          <w:szCs w:val="32"/>
        </w:rPr>
        <w:t>案件调解</w:t>
      </w:r>
      <w:r w:rsidR="00AA24E7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难度</w:t>
      </w:r>
      <w:r w:rsidR="00F630FB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显著加大。</w:t>
      </w:r>
      <w:r w:rsidR="00F630FB" w:rsidRPr="00762A4A">
        <w:rPr>
          <w:rFonts w:ascii="仿宋_GB2312" w:eastAsia="仿宋_GB2312"/>
          <w:b/>
          <w:color w:val="0D0D0D" w:themeColor="text1" w:themeTint="F2"/>
          <w:sz w:val="32"/>
          <w:szCs w:val="32"/>
        </w:rPr>
        <w:t>四</w:t>
      </w:r>
      <w:r w:rsidR="00E87682" w:rsidRPr="00762A4A">
        <w:rPr>
          <w:rFonts w:ascii="仿宋_GB2312" w:eastAsia="仿宋_GB2312" w:hint="eastAsia"/>
          <w:b/>
          <w:color w:val="0D0D0D" w:themeColor="text1" w:themeTint="F2"/>
          <w:sz w:val="32"/>
          <w:szCs w:val="32"/>
        </w:rPr>
        <w:t>是</w:t>
      </w:r>
      <w:r w:rsidR="00F630FB" w:rsidRPr="00762A4A">
        <w:rPr>
          <w:rFonts w:ascii="仿宋_GB2312" w:eastAsia="仿宋_GB2312" w:hint="eastAsia"/>
          <w:b/>
          <w:color w:val="0D0D0D" w:themeColor="text1" w:themeTint="F2"/>
          <w:sz w:val="32"/>
          <w:szCs w:val="32"/>
        </w:rPr>
        <w:t>部分</w:t>
      </w:r>
      <w:r w:rsidR="000611FE" w:rsidRPr="00762A4A">
        <w:rPr>
          <w:rFonts w:ascii="仿宋_GB2312" w:eastAsia="仿宋_GB2312" w:hint="eastAsia"/>
          <w:b/>
          <w:color w:val="0D0D0D" w:themeColor="text1" w:themeTint="F2"/>
          <w:sz w:val="32"/>
          <w:szCs w:val="32"/>
        </w:rPr>
        <w:t>案件</w:t>
      </w:r>
      <w:r w:rsidR="00F630FB" w:rsidRPr="00762A4A">
        <w:rPr>
          <w:rFonts w:ascii="仿宋_GB2312" w:eastAsia="仿宋_GB2312" w:hint="eastAsia"/>
          <w:b/>
          <w:color w:val="0D0D0D" w:themeColor="text1" w:themeTint="F2"/>
          <w:sz w:val="32"/>
          <w:szCs w:val="32"/>
        </w:rPr>
        <w:t>呈现</w:t>
      </w:r>
      <w:r w:rsidR="00885DE3" w:rsidRPr="00762A4A">
        <w:rPr>
          <w:rFonts w:ascii="仿宋_GB2312" w:eastAsia="仿宋_GB2312" w:hint="eastAsia"/>
          <w:b/>
          <w:color w:val="0D0D0D" w:themeColor="text1" w:themeTint="F2"/>
          <w:sz w:val="32"/>
          <w:szCs w:val="32"/>
        </w:rPr>
        <w:t>批量</w:t>
      </w:r>
      <w:r w:rsidR="00F630FB" w:rsidRPr="00762A4A">
        <w:rPr>
          <w:rFonts w:ascii="仿宋_GB2312" w:eastAsia="仿宋_GB2312" w:hint="eastAsia"/>
          <w:b/>
          <w:color w:val="0D0D0D" w:themeColor="text1" w:themeTint="F2"/>
          <w:sz w:val="32"/>
          <w:szCs w:val="32"/>
        </w:rPr>
        <w:t>维权</w:t>
      </w:r>
      <w:r w:rsidR="00F630FB" w:rsidRPr="00762A4A">
        <w:rPr>
          <w:rFonts w:ascii="仿宋_GB2312" w:eastAsia="仿宋_GB2312"/>
          <w:b/>
          <w:color w:val="0D0D0D" w:themeColor="text1" w:themeTint="F2"/>
          <w:sz w:val="32"/>
          <w:szCs w:val="32"/>
        </w:rPr>
        <w:t>现象</w:t>
      </w:r>
      <w:r w:rsidR="000611FE" w:rsidRPr="00762A4A">
        <w:rPr>
          <w:rFonts w:ascii="仿宋_GB2312" w:eastAsia="仿宋_GB2312" w:hint="eastAsia"/>
          <w:b/>
          <w:color w:val="0D0D0D" w:themeColor="text1" w:themeTint="F2"/>
          <w:sz w:val="32"/>
          <w:szCs w:val="32"/>
        </w:rPr>
        <w:t>。</w:t>
      </w:r>
      <w:r w:rsidR="00E97D8C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此类</w:t>
      </w:r>
      <w:r w:rsidR="00F630FB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案件</w:t>
      </w:r>
      <w:r w:rsidR="00F630FB" w:rsidRPr="00762A4A">
        <w:rPr>
          <w:rFonts w:ascii="仿宋_GB2312" w:eastAsia="仿宋_GB2312"/>
          <w:color w:val="0D0D0D" w:themeColor="text1" w:themeTint="F2"/>
          <w:sz w:val="32"/>
          <w:szCs w:val="32"/>
        </w:rPr>
        <w:t>主要集中为</w:t>
      </w:r>
      <w:r w:rsidR="000D341D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商标</w:t>
      </w:r>
      <w:r w:rsidR="00F630FB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权</w:t>
      </w:r>
      <w:r w:rsidR="000D341D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、</w:t>
      </w:r>
      <w:r w:rsidR="00B96732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著作权</w:t>
      </w:r>
      <w:r w:rsidR="00F630FB" w:rsidRPr="00762A4A">
        <w:rPr>
          <w:rFonts w:ascii="仿宋_GB2312" w:eastAsia="仿宋_GB2312"/>
          <w:color w:val="0D0D0D" w:themeColor="text1" w:themeTint="F2"/>
          <w:sz w:val="32"/>
          <w:szCs w:val="32"/>
        </w:rPr>
        <w:t>侵权</w:t>
      </w:r>
      <w:r w:rsidR="004B531D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纠纷</w:t>
      </w:r>
      <w:r w:rsidR="000D341D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案件</w:t>
      </w:r>
      <w:r w:rsidR="00F630FB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，</w:t>
      </w:r>
      <w:r w:rsidR="00ED47D7" w:rsidRPr="00762A4A">
        <w:rPr>
          <w:rFonts w:ascii="仿宋_GB2312" w:eastAsia="仿宋_GB2312" w:hint="eastAsia"/>
          <w:color w:val="0D0D0D" w:themeColor="text1" w:themeTint="F2"/>
          <w:sz w:val="32"/>
          <w:szCs w:val="32"/>
        </w:rPr>
        <w:t>主要涉及食品、服饰</w:t>
      </w:r>
      <w:r w:rsidR="00F630FB" w:rsidRPr="00142294">
        <w:rPr>
          <w:rFonts w:ascii="仿宋_GB2312" w:eastAsia="仿宋_GB2312" w:hint="eastAsia"/>
          <w:sz w:val="32"/>
          <w:szCs w:val="32"/>
        </w:rPr>
        <w:t>、</w:t>
      </w:r>
      <w:r w:rsidR="00F630FB" w:rsidRPr="00142294">
        <w:rPr>
          <w:rFonts w:ascii="仿宋_GB2312" w:eastAsia="仿宋_GB2312"/>
          <w:sz w:val="32"/>
          <w:szCs w:val="32"/>
        </w:rPr>
        <w:t>玩具</w:t>
      </w:r>
      <w:r w:rsidR="00F630FB" w:rsidRPr="00142294">
        <w:rPr>
          <w:rFonts w:ascii="仿宋_GB2312" w:eastAsia="仿宋_GB2312" w:hint="eastAsia"/>
          <w:sz w:val="32"/>
          <w:szCs w:val="32"/>
        </w:rPr>
        <w:t>、</w:t>
      </w:r>
      <w:r w:rsidR="00F630FB" w:rsidRPr="00142294">
        <w:rPr>
          <w:rFonts w:ascii="仿宋_GB2312" w:eastAsia="仿宋_GB2312"/>
          <w:sz w:val="32"/>
          <w:szCs w:val="32"/>
        </w:rPr>
        <w:t>日化用品</w:t>
      </w:r>
      <w:r w:rsidR="00ED47D7" w:rsidRPr="00142294">
        <w:rPr>
          <w:rFonts w:ascii="仿宋_GB2312" w:eastAsia="仿宋_GB2312" w:hint="eastAsia"/>
          <w:sz w:val="32"/>
          <w:szCs w:val="32"/>
        </w:rPr>
        <w:t>等</w:t>
      </w:r>
      <w:r w:rsidR="00F630FB" w:rsidRPr="00142294">
        <w:rPr>
          <w:rFonts w:ascii="仿宋_GB2312" w:eastAsia="仿宋_GB2312" w:hint="eastAsia"/>
          <w:sz w:val="32"/>
          <w:szCs w:val="32"/>
        </w:rPr>
        <w:t>零售</w:t>
      </w:r>
      <w:r w:rsidR="00F630FB" w:rsidRPr="00142294">
        <w:rPr>
          <w:rFonts w:ascii="仿宋_GB2312" w:eastAsia="仿宋_GB2312"/>
          <w:sz w:val="32"/>
          <w:szCs w:val="32"/>
        </w:rPr>
        <w:t>终端</w:t>
      </w:r>
      <w:r w:rsidR="00F630FB" w:rsidRPr="00142294">
        <w:rPr>
          <w:rFonts w:ascii="仿宋_GB2312" w:eastAsia="仿宋_GB2312" w:hint="eastAsia"/>
          <w:sz w:val="32"/>
          <w:szCs w:val="32"/>
        </w:rPr>
        <w:t>以及</w:t>
      </w:r>
      <w:r w:rsidR="00F630FB" w:rsidRPr="00142294">
        <w:rPr>
          <w:rFonts w:ascii="仿宋_GB2312" w:eastAsia="仿宋_GB2312"/>
          <w:sz w:val="32"/>
          <w:szCs w:val="32"/>
        </w:rPr>
        <w:t>网络销售</w:t>
      </w:r>
      <w:r w:rsidR="00F630FB" w:rsidRPr="00142294">
        <w:rPr>
          <w:rFonts w:ascii="仿宋_GB2312" w:eastAsia="仿宋_GB2312" w:hint="eastAsia"/>
          <w:sz w:val="32"/>
          <w:szCs w:val="32"/>
        </w:rPr>
        <w:t>商铺</w:t>
      </w:r>
      <w:r w:rsidR="00F630FB" w:rsidRPr="00142294">
        <w:rPr>
          <w:rFonts w:ascii="仿宋_GB2312" w:eastAsia="仿宋_GB2312"/>
          <w:sz w:val="32"/>
          <w:szCs w:val="32"/>
        </w:rPr>
        <w:t>等</w:t>
      </w:r>
      <w:r w:rsidR="00F630FB" w:rsidRPr="00142294">
        <w:rPr>
          <w:rFonts w:ascii="仿宋_GB2312" w:eastAsia="仿宋_GB2312" w:hint="eastAsia"/>
          <w:sz w:val="32"/>
          <w:szCs w:val="32"/>
        </w:rPr>
        <w:t>，</w:t>
      </w:r>
      <w:r w:rsidR="00F630FB" w:rsidRPr="00142294">
        <w:rPr>
          <w:rFonts w:ascii="仿宋_GB2312" w:eastAsia="仿宋_GB2312"/>
          <w:sz w:val="32"/>
          <w:szCs w:val="32"/>
        </w:rPr>
        <w:t>关联度相对较高</w:t>
      </w:r>
      <w:r w:rsidR="00F630FB" w:rsidRPr="00142294">
        <w:rPr>
          <w:rFonts w:ascii="仿宋_GB2312" w:eastAsia="仿宋_GB2312" w:hint="eastAsia"/>
          <w:sz w:val="32"/>
          <w:szCs w:val="32"/>
        </w:rPr>
        <w:t>，社会</w:t>
      </w:r>
      <w:r w:rsidR="00F630FB" w:rsidRPr="00142294">
        <w:rPr>
          <w:rFonts w:ascii="仿宋_GB2312" w:eastAsia="仿宋_GB2312"/>
          <w:sz w:val="32"/>
          <w:szCs w:val="32"/>
        </w:rPr>
        <w:t>关注度较大</w:t>
      </w:r>
      <w:r w:rsidR="00ED47D7" w:rsidRPr="00142294">
        <w:rPr>
          <w:rFonts w:ascii="仿宋_GB2312" w:eastAsia="仿宋_GB2312" w:hint="eastAsia"/>
          <w:sz w:val="32"/>
          <w:szCs w:val="32"/>
        </w:rPr>
        <w:t>。</w:t>
      </w:r>
    </w:p>
    <w:p w:rsidR="009874E3" w:rsidRPr="00142294" w:rsidRDefault="004102C2" w:rsidP="00F630FB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今年以来，</w:t>
      </w:r>
      <w:r w:rsidR="00BA12C3">
        <w:rPr>
          <w:rFonts w:ascii="仿宋_GB2312" w:eastAsia="仿宋_GB2312" w:hint="eastAsia"/>
          <w:sz w:val="32"/>
          <w:szCs w:val="32"/>
        </w:rPr>
        <w:t>主要采取了以下工作措施：</w:t>
      </w:r>
    </w:p>
    <w:p w:rsidR="00666FB2" w:rsidRPr="00885DE3" w:rsidRDefault="00666FB2" w:rsidP="00885DE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142294">
        <w:rPr>
          <w:rFonts w:ascii="楷体_GB2312" w:eastAsia="楷体_GB2312" w:hint="eastAsia"/>
          <w:sz w:val="32"/>
          <w:szCs w:val="32"/>
        </w:rPr>
        <w:t>（一）</w:t>
      </w:r>
      <w:r w:rsidR="006141F8" w:rsidRPr="00142294">
        <w:rPr>
          <w:rFonts w:ascii="楷体_GB2312" w:eastAsia="楷体_GB2312" w:hint="eastAsia"/>
          <w:sz w:val="32"/>
          <w:szCs w:val="32"/>
        </w:rPr>
        <w:t>持续推进精品战略，强化</w:t>
      </w:r>
      <w:r w:rsidRPr="00142294">
        <w:rPr>
          <w:rFonts w:ascii="楷体_GB2312" w:eastAsia="楷体_GB2312" w:hint="eastAsia"/>
          <w:sz w:val="32"/>
          <w:szCs w:val="32"/>
        </w:rPr>
        <w:t>裁判指引作用</w:t>
      </w:r>
      <w:r w:rsidR="00885DE3">
        <w:rPr>
          <w:rFonts w:ascii="楷体_GB2312" w:eastAsia="楷体_GB2312" w:hint="eastAsia"/>
          <w:sz w:val="32"/>
          <w:szCs w:val="32"/>
        </w:rPr>
        <w:t>。</w:t>
      </w:r>
      <w:r w:rsidRPr="00142294">
        <w:rPr>
          <w:rFonts w:ascii="仿宋_GB2312" w:eastAsia="仿宋_GB2312" w:hint="eastAsia"/>
          <w:sz w:val="32"/>
          <w:szCs w:val="32"/>
        </w:rPr>
        <w:t>先后审理了</w:t>
      </w:r>
      <w:r w:rsidR="003C7DB0" w:rsidRPr="00142294">
        <w:rPr>
          <w:rFonts w:ascii="仿宋_GB2312" w:eastAsia="仿宋_GB2312" w:hint="eastAsia"/>
          <w:sz w:val="32"/>
          <w:szCs w:val="32"/>
        </w:rPr>
        <w:t>腾讯、格力、</w:t>
      </w:r>
      <w:r w:rsidR="00EC6025" w:rsidRPr="00142294">
        <w:rPr>
          <w:rFonts w:ascii="仿宋_GB2312" w:eastAsia="仿宋_GB2312" w:hint="eastAsia"/>
          <w:sz w:val="32"/>
          <w:szCs w:val="32"/>
        </w:rPr>
        <w:t>养生堂、</w:t>
      </w:r>
      <w:r w:rsidR="00ED47D7" w:rsidRPr="00142294">
        <w:rPr>
          <w:rFonts w:ascii="仿宋_GB2312" w:eastAsia="仿宋_GB2312" w:hint="eastAsia"/>
          <w:sz w:val="32"/>
          <w:szCs w:val="32"/>
        </w:rPr>
        <w:t>江中</w:t>
      </w:r>
      <w:r w:rsidRPr="00142294">
        <w:rPr>
          <w:rFonts w:ascii="仿宋_GB2312" w:eastAsia="仿宋_GB2312" w:hint="eastAsia"/>
          <w:sz w:val="32"/>
          <w:szCs w:val="32"/>
        </w:rPr>
        <w:t>、</w:t>
      </w:r>
      <w:r w:rsidR="00BA12C3">
        <w:rPr>
          <w:rFonts w:ascii="仿宋_GB2312" w:eastAsia="仿宋_GB2312" w:hint="eastAsia"/>
          <w:sz w:val="32"/>
          <w:szCs w:val="32"/>
        </w:rPr>
        <w:t>雀巢</w:t>
      </w:r>
      <w:r w:rsidRPr="00142294">
        <w:rPr>
          <w:rFonts w:ascii="仿宋_GB2312" w:eastAsia="仿宋_GB2312" w:hint="eastAsia"/>
          <w:sz w:val="32"/>
          <w:szCs w:val="32"/>
        </w:rPr>
        <w:t>等</w:t>
      </w:r>
      <w:r w:rsidRPr="002A7B60">
        <w:rPr>
          <w:rFonts w:ascii="仿宋_GB2312" w:eastAsia="仿宋_GB2312" w:hint="eastAsia"/>
          <w:sz w:val="32"/>
          <w:szCs w:val="32"/>
        </w:rPr>
        <w:t>一批</w:t>
      </w:r>
      <w:r w:rsidR="00E55B2F" w:rsidRPr="002A7B60">
        <w:rPr>
          <w:rFonts w:ascii="仿宋_GB2312" w:eastAsia="仿宋_GB2312" w:hint="eastAsia"/>
          <w:sz w:val="32"/>
          <w:szCs w:val="32"/>
        </w:rPr>
        <w:t>国内外</w:t>
      </w:r>
      <w:r w:rsidRPr="002A7B60">
        <w:rPr>
          <w:rFonts w:ascii="仿宋_GB2312" w:eastAsia="仿宋_GB2312" w:hint="eastAsia"/>
          <w:sz w:val="32"/>
          <w:szCs w:val="32"/>
        </w:rPr>
        <w:t>知</w:t>
      </w:r>
      <w:r w:rsidRPr="00142294">
        <w:rPr>
          <w:rFonts w:ascii="仿宋_GB2312" w:eastAsia="仿宋_GB2312" w:hint="eastAsia"/>
          <w:sz w:val="32"/>
          <w:szCs w:val="32"/>
        </w:rPr>
        <w:t>名品牌案件，</w:t>
      </w:r>
      <w:r w:rsidR="00ED47D7" w:rsidRPr="00142294">
        <w:rPr>
          <w:rFonts w:ascii="仿宋_GB2312" w:eastAsia="仿宋_GB2312" w:hint="eastAsia"/>
          <w:sz w:val="32"/>
          <w:szCs w:val="32"/>
        </w:rPr>
        <w:t>中院审理的“路由器方法发明专</w:t>
      </w:r>
      <w:r w:rsidR="00ED47D7" w:rsidRPr="00ED47D7">
        <w:rPr>
          <w:rFonts w:ascii="仿宋_GB2312" w:eastAsia="仿宋_GB2312" w:hint="eastAsia"/>
          <w:sz w:val="32"/>
          <w:szCs w:val="32"/>
        </w:rPr>
        <w:t>利案”入选最高法院第28</w:t>
      </w:r>
      <w:r w:rsidR="005714F7">
        <w:rPr>
          <w:rFonts w:ascii="仿宋_GB2312" w:eastAsia="仿宋_GB2312" w:hint="eastAsia"/>
          <w:sz w:val="32"/>
          <w:szCs w:val="32"/>
        </w:rPr>
        <w:t>批</w:t>
      </w:r>
      <w:r w:rsidR="00ED47D7" w:rsidRPr="00ED47D7">
        <w:rPr>
          <w:rFonts w:ascii="仿宋_GB2312" w:eastAsia="仿宋_GB2312" w:hint="eastAsia"/>
          <w:sz w:val="32"/>
          <w:szCs w:val="32"/>
        </w:rPr>
        <w:t>指导性案例，</w:t>
      </w:r>
      <w:r w:rsidR="00BA12C3">
        <w:rPr>
          <w:rFonts w:ascii="仿宋_GB2312" w:eastAsia="仿宋_GB2312" w:hint="eastAsia"/>
          <w:sz w:val="32"/>
          <w:szCs w:val="32"/>
        </w:rPr>
        <w:t>为</w:t>
      </w:r>
      <w:r w:rsidR="00ED47D7" w:rsidRPr="00ED47D7">
        <w:rPr>
          <w:rFonts w:ascii="仿宋_GB2312" w:eastAsia="仿宋_GB2312" w:hint="eastAsia"/>
          <w:sz w:val="32"/>
          <w:szCs w:val="32"/>
        </w:rPr>
        <w:t>中院入选的第2</w:t>
      </w:r>
      <w:r w:rsidR="00BA12C3">
        <w:rPr>
          <w:rFonts w:ascii="仿宋_GB2312" w:eastAsia="仿宋_GB2312" w:hint="eastAsia"/>
          <w:sz w:val="32"/>
          <w:szCs w:val="32"/>
        </w:rPr>
        <w:t>件知识产权指导性案例；“腾讯商标及不正当竞争</w:t>
      </w:r>
      <w:r w:rsidR="00ED47D7" w:rsidRPr="00ED47D7">
        <w:rPr>
          <w:rFonts w:ascii="仿宋_GB2312" w:eastAsia="仿宋_GB2312" w:hint="eastAsia"/>
          <w:sz w:val="32"/>
          <w:szCs w:val="32"/>
        </w:rPr>
        <w:t>案”入选“中国法院50件典型知识产</w:t>
      </w:r>
      <w:r w:rsidR="00ED47D7" w:rsidRPr="00C66781">
        <w:rPr>
          <w:rFonts w:ascii="仿宋_GB2312" w:eastAsia="仿宋_GB2312" w:hint="eastAsia"/>
          <w:sz w:val="32"/>
          <w:szCs w:val="32"/>
        </w:rPr>
        <w:t>权案例”，连续9年有9件案例入选；</w:t>
      </w:r>
      <w:r w:rsidR="00581E49" w:rsidRPr="00C66781">
        <w:rPr>
          <w:rFonts w:ascii="仿宋_GB2312" w:eastAsia="仿宋_GB2312" w:hint="eastAsia"/>
          <w:sz w:val="32"/>
          <w:szCs w:val="32"/>
        </w:rPr>
        <w:t>“德瑞特79号黄瓜</w:t>
      </w:r>
      <w:r w:rsidR="000579EF">
        <w:rPr>
          <w:rFonts w:ascii="仿宋_GB2312" w:eastAsia="仿宋_GB2312" w:hint="eastAsia"/>
          <w:sz w:val="32"/>
          <w:szCs w:val="32"/>
        </w:rPr>
        <w:t>新</w:t>
      </w:r>
      <w:r w:rsidR="00581E49" w:rsidRPr="00C66781">
        <w:rPr>
          <w:rFonts w:ascii="仿宋_GB2312" w:eastAsia="仿宋_GB2312" w:hint="eastAsia"/>
          <w:sz w:val="32"/>
          <w:szCs w:val="32"/>
        </w:rPr>
        <w:t>品种权案</w:t>
      </w:r>
      <w:r w:rsidR="005714F7" w:rsidRPr="00C66781">
        <w:rPr>
          <w:rFonts w:ascii="仿宋_GB2312" w:eastAsia="仿宋_GB2312" w:hint="eastAsia"/>
          <w:sz w:val="32"/>
          <w:szCs w:val="32"/>
        </w:rPr>
        <w:t>”</w:t>
      </w:r>
      <w:r w:rsidR="00581E49" w:rsidRPr="00C66781">
        <w:rPr>
          <w:rFonts w:ascii="仿宋_GB2312" w:eastAsia="仿宋_GB2312" w:hint="eastAsia"/>
          <w:sz w:val="32"/>
          <w:szCs w:val="32"/>
        </w:rPr>
        <w:t>入选最高</w:t>
      </w:r>
      <w:r w:rsidR="00581E49" w:rsidRPr="00C66781">
        <w:rPr>
          <w:rFonts w:ascii="仿宋_GB2312" w:eastAsia="仿宋_GB2312"/>
          <w:sz w:val="32"/>
          <w:szCs w:val="32"/>
        </w:rPr>
        <w:t>法院第二批</w:t>
      </w:r>
      <w:r w:rsidR="00581E49" w:rsidRPr="00C66781">
        <w:rPr>
          <w:rFonts w:ascii="仿宋_GB2312" w:eastAsia="仿宋_GB2312" w:hint="eastAsia"/>
          <w:sz w:val="32"/>
          <w:szCs w:val="32"/>
        </w:rPr>
        <w:t>种业司法保护典型案例；</w:t>
      </w:r>
      <w:r w:rsidR="000C64EF">
        <w:rPr>
          <w:rFonts w:ascii="仿宋_GB2312" w:eastAsia="仿宋_GB2312" w:hint="eastAsia"/>
          <w:sz w:val="32"/>
          <w:szCs w:val="32"/>
        </w:rPr>
        <w:t>“</w:t>
      </w:r>
      <w:r w:rsidR="00BA12C3">
        <w:rPr>
          <w:rFonts w:ascii="仿宋_GB2312" w:eastAsia="仿宋_GB2312" w:hint="eastAsia"/>
          <w:sz w:val="32"/>
          <w:szCs w:val="32"/>
        </w:rPr>
        <w:t>一种</w:t>
      </w:r>
      <w:r w:rsidR="00BA12C3" w:rsidRPr="00BA12C3">
        <w:rPr>
          <w:rFonts w:ascii="仿宋_GB2312" w:eastAsia="仿宋_GB2312" w:hint="eastAsia"/>
          <w:sz w:val="32"/>
          <w:szCs w:val="32"/>
        </w:rPr>
        <w:t>气化炉出口气体喷淋装置</w:t>
      </w:r>
      <w:r w:rsidR="000C64EF">
        <w:rPr>
          <w:rFonts w:ascii="仿宋_GB2312" w:eastAsia="仿宋_GB2312" w:hint="eastAsia"/>
          <w:sz w:val="32"/>
          <w:szCs w:val="32"/>
        </w:rPr>
        <w:t>专利</w:t>
      </w:r>
      <w:r w:rsidR="00BA12C3">
        <w:rPr>
          <w:rFonts w:ascii="仿宋_GB2312" w:eastAsia="仿宋_GB2312" w:hint="eastAsia"/>
          <w:sz w:val="32"/>
          <w:szCs w:val="32"/>
        </w:rPr>
        <w:t>权</w:t>
      </w:r>
      <w:r w:rsidR="00154935" w:rsidRPr="00C66781">
        <w:rPr>
          <w:rFonts w:ascii="仿宋_GB2312" w:eastAsia="仿宋_GB2312" w:hint="eastAsia"/>
          <w:sz w:val="32"/>
          <w:szCs w:val="32"/>
        </w:rPr>
        <w:t>权属案</w:t>
      </w:r>
      <w:r w:rsidR="000C64EF" w:rsidRPr="00C66781">
        <w:rPr>
          <w:rFonts w:ascii="仿宋_GB2312" w:eastAsia="仿宋_GB2312" w:hint="eastAsia"/>
          <w:sz w:val="32"/>
          <w:szCs w:val="32"/>
        </w:rPr>
        <w:t>”</w:t>
      </w:r>
      <w:r w:rsidR="000C64EF">
        <w:rPr>
          <w:rFonts w:ascii="仿宋_GB2312" w:eastAsia="仿宋_GB2312" w:hint="eastAsia"/>
          <w:sz w:val="32"/>
          <w:szCs w:val="32"/>
        </w:rPr>
        <w:t>“</w:t>
      </w:r>
      <w:r w:rsidR="000C64EF" w:rsidRPr="00C66781">
        <w:rPr>
          <w:rFonts w:ascii="仿宋_GB2312" w:eastAsia="仿宋_GB2312" w:hint="eastAsia"/>
          <w:sz w:val="32"/>
          <w:szCs w:val="32"/>
        </w:rPr>
        <w:t>公司高管</w:t>
      </w:r>
      <w:r w:rsidR="000C64EF">
        <w:rPr>
          <w:rFonts w:ascii="仿宋_GB2312" w:eastAsia="仿宋_GB2312" w:hint="eastAsia"/>
          <w:sz w:val="32"/>
          <w:szCs w:val="32"/>
        </w:rPr>
        <w:t>违规</w:t>
      </w:r>
      <w:r w:rsidR="00BA12C3">
        <w:rPr>
          <w:rFonts w:ascii="仿宋_GB2312" w:eastAsia="仿宋_GB2312" w:hint="eastAsia"/>
          <w:sz w:val="32"/>
          <w:szCs w:val="32"/>
        </w:rPr>
        <w:t>转</w:t>
      </w:r>
      <w:r w:rsidR="000C64EF" w:rsidRPr="00C66781">
        <w:rPr>
          <w:rFonts w:ascii="仿宋_GB2312" w:eastAsia="仿宋_GB2312" w:hint="eastAsia"/>
          <w:sz w:val="32"/>
          <w:szCs w:val="32"/>
        </w:rPr>
        <w:t>让专利权案</w:t>
      </w:r>
      <w:r w:rsidR="000C64EF">
        <w:rPr>
          <w:rFonts w:ascii="仿宋_GB2312" w:eastAsia="仿宋_GB2312" w:hint="eastAsia"/>
          <w:sz w:val="32"/>
          <w:szCs w:val="32"/>
        </w:rPr>
        <w:t>”分别入选最高</w:t>
      </w:r>
      <w:r w:rsidR="00154935" w:rsidRPr="00C66781">
        <w:rPr>
          <w:rFonts w:ascii="仿宋_GB2312" w:eastAsia="仿宋_GB2312" w:hint="eastAsia"/>
          <w:sz w:val="32"/>
          <w:szCs w:val="32"/>
        </w:rPr>
        <w:t>法院</w:t>
      </w:r>
      <w:r w:rsidR="005714F7">
        <w:rPr>
          <w:rFonts w:ascii="仿宋_GB2312" w:eastAsia="仿宋_GB2312" w:hint="eastAsia"/>
          <w:sz w:val="32"/>
          <w:szCs w:val="32"/>
        </w:rPr>
        <w:t>2021年度</w:t>
      </w:r>
      <w:r w:rsidR="00154935" w:rsidRPr="00C66781">
        <w:rPr>
          <w:rFonts w:ascii="仿宋_GB2312" w:eastAsia="仿宋_GB2312" w:hint="eastAsia"/>
          <w:sz w:val="32"/>
          <w:szCs w:val="32"/>
        </w:rPr>
        <w:t>典型案例裁判要旨</w:t>
      </w:r>
      <w:r w:rsidR="00722DBB">
        <w:rPr>
          <w:rFonts w:ascii="仿宋_GB2312" w:eastAsia="仿宋_GB2312" w:hint="eastAsia"/>
          <w:sz w:val="32"/>
          <w:szCs w:val="32"/>
        </w:rPr>
        <w:t>；</w:t>
      </w:r>
      <w:r w:rsidR="005E68D4" w:rsidRPr="00307C17">
        <w:rPr>
          <w:rFonts w:ascii="仿宋_GB2312" w:eastAsia="仿宋_GB2312" w:hint="eastAsia"/>
          <w:color w:val="0D0D0D" w:themeColor="text1" w:themeTint="F2"/>
          <w:sz w:val="32"/>
          <w:szCs w:val="32"/>
        </w:rPr>
        <w:t>“</w:t>
      </w:r>
      <w:r w:rsidR="00284197" w:rsidRPr="00307C17">
        <w:rPr>
          <w:rFonts w:ascii="仿宋_GB2312" w:eastAsia="仿宋_GB2312" w:hint="eastAsia"/>
          <w:color w:val="0D0D0D" w:themeColor="text1" w:themeTint="F2"/>
          <w:sz w:val="32"/>
          <w:szCs w:val="32"/>
        </w:rPr>
        <w:t>永荣</w:t>
      </w:r>
      <w:r w:rsidR="00307C17">
        <w:rPr>
          <w:rFonts w:ascii="仿宋_GB2312" w:eastAsia="仿宋_GB2312" w:hint="eastAsia"/>
          <w:color w:val="0D0D0D" w:themeColor="text1" w:themeTint="F2"/>
          <w:sz w:val="32"/>
          <w:szCs w:val="32"/>
        </w:rPr>
        <w:t>商标及</w:t>
      </w:r>
      <w:r w:rsidR="00307C17">
        <w:rPr>
          <w:rFonts w:ascii="仿宋_GB2312" w:eastAsia="仿宋_GB2312"/>
          <w:color w:val="0D0D0D" w:themeColor="text1" w:themeTint="F2"/>
          <w:sz w:val="32"/>
          <w:szCs w:val="32"/>
        </w:rPr>
        <w:t>不正当竞争</w:t>
      </w:r>
      <w:r w:rsidR="005E68D4" w:rsidRPr="00307C17">
        <w:rPr>
          <w:rFonts w:ascii="仿宋_GB2312" w:eastAsia="仿宋_GB2312" w:hint="eastAsia"/>
          <w:color w:val="0D0D0D" w:themeColor="text1" w:themeTint="F2"/>
          <w:sz w:val="32"/>
          <w:szCs w:val="32"/>
        </w:rPr>
        <w:t>案”</w:t>
      </w:r>
      <w:r w:rsidR="00722DBB" w:rsidRPr="00307C17">
        <w:rPr>
          <w:rFonts w:ascii="仿宋_GB2312" w:eastAsia="仿宋_GB2312" w:hint="eastAsia"/>
          <w:color w:val="0D0D0D" w:themeColor="text1" w:themeTint="F2"/>
          <w:sz w:val="32"/>
          <w:szCs w:val="32"/>
        </w:rPr>
        <w:t>获评“全省法院知识产权审判二十周年精品裁判文书”；</w:t>
      </w:r>
      <w:r w:rsidR="00691798" w:rsidRPr="00691798">
        <w:rPr>
          <w:rFonts w:ascii="仿宋_GB2312" w:eastAsia="仿宋_GB2312" w:hint="eastAsia"/>
          <w:sz w:val="32"/>
          <w:szCs w:val="32"/>
        </w:rPr>
        <w:t>（2021）鲁01民初2</w:t>
      </w:r>
      <w:r w:rsidR="00691798" w:rsidRPr="00142294">
        <w:rPr>
          <w:rFonts w:ascii="仿宋_GB2312" w:eastAsia="仿宋_GB2312" w:hint="eastAsia"/>
          <w:sz w:val="32"/>
          <w:szCs w:val="32"/>
        </w:rPr>
        <w:t>4号案件</w:t>
      </w:r>
      <w:r w:rsidR="00581E49" w:rsidRPr="00142294">
        <w:rPr>
          <w:rFonts w:ascii="仿宋_GB2312" w:eastAsia="仿宋_GB2312" w:hint="eastAsia"/>
          <w:sz w:val="32"/>
          <w:szCs w:val="32"/>
        </w:rPr>
        <w:t>被</w:t>
      </w:r>
      <w:r w:rsidR="00691798" w:rsidRPr="00142294">
        <w:rPr>
          <w:rFonts w:ascii="仿宋_GB2312" w:eastAsia="仿宋_GB2312" w:hint="eastAsia"/>
          <w:sz w:val="32"/>
          <w:szCs w:val="32"/>
        </w:rPr>
        <w:t>评为“全</w:t>
      </w:r>
      <w:r w:rsidR="00691798">
        <w:rPr>
          <w:rFonts w:ascii="仿宋_GB2312" w:eastAsia="仿宋_GB2312" w:hint="eastAsia"/>
          <w:sz w:val="32"/>
          <w:szCs w:val="32"/>
        </w:rPr>
        <w:t>省法院十大优秀庭审”。</w:t>
      </w:r>
    </w:p>
    <w:p w:rsidR="004E080A" w:rsidRDefault="000873FE" w:rsidP="00D4719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873FE">
        <w:rPr>
          <w:rFonts w:ascii="楷体_GB2312" w:eastAsia="楷体_GB2312" w:hint="eastAsia"/>
          <w:color w:val="000000" w:themeColor="text1"/>
          <w:sz w:val="32"/>
          <w:szCs w:val="32"/>
        </w:rPr>
        <w:t>（</w:t>
      </w:r>
      <w:r w:rsidR="00C66258">
        <w:rPr>
          <w:rFonts w:ascii="楷体_GB2312" w:eastAsia="楷体_GB2312" w:hint="eastAsia"/>
          <w:color w:val="000000" w:themeColor="text1"/>
          <w:sz w:val="32"/>
          <w:szCs w:val="32"/>
        </w:rPr>
        <w:t>二）加强</w:t>
      </w:r>
      <w:r>
        <w:rPr>
          <w:rFonts w:ascii="楷体_GB2312" w:eastAsia="楷体_GB2312" w:hint="eastAsia"/>
          <w:color w:val="000000" w:themeColor="text1"/>
          <w:sz w:val="32"/>
          <w:szCs w:val="32"/>
        </w:rPr>
        <w:t>创新成果保护，</w:t>
      </w:r>
      <w:r w:rsidR="00C66258">
        <w:rPr>
          <w:rFonts w:ascii="楷体_GB2312" w:eastAsia="楷体_GB2312" w:hint="eastAsia"/>
          <w:color w:val="000000" w:themeColor="text1"/>
          <w:sz w:val="32"/>
          <w:szCs w:val="32"/>
        </w:rPr>
        <w:t>促进企业</w:t>
      </w:r>
      <w:r w:rsidR="00C66258">
        <w:rPr>
          <w:rFonts w:ascii="楷体_GB2312" w:eastAsia="楷体_GB2312"/>
          <w:color w:val="000000" w:themeColor="text1"/>
          <w:sz w:val="32"/>
          <w:szCs w:val="32"/>
        </w:rPr>
        <w:t>创新发展</w:t>
      </w:r>
      <w:r w:rsidR="00D47193">
        <w:rPr>
          <w:rFonts w:ascii="仿宋_GB2312" w:eastAsia="仿宋_GB2312" w:hint="eastAsia"/>
          <w:sz w:val="32"/>
          <w:szCs w:val="32"/>
        </w:rPr>
        <w:t>。</w:t>
      </w:r>
      <w:r w:rsidR="00BA12C3">
        <w:rPr>
          <w:rFonts w:ascii="仿宋_GB2312" w:eastAsia="仿宋_GB2312" w:hint="eastAsia"/>
          <w:sz w:val="32"/>
          <w:szCs w:val="32"/>
        </w:rPr>
        <w:t>强化</w:t>
      </w:r>
      <w:r w:rsidRPr="00020EF0">
        <w:rPr>
          <w:rFonts w:ascii="仿宋_GB2312" w:eastAsia="仿宋_GB2312" w:hint="eastAsia"/>
          <w:sz w:val="32"/>
          <w:szCs w:val="32"/>
        </w:rPr>
        <w:t>技术类</w:t>
      </w:r>
      <w:r w:rsidR="00BA12C3">
        <w:rPr>
          <w:rFonts w:ascii="仿宋_GB2312" w:eastAsia="仿宋_GB2312" w:hint="eastAsia"/>
          <w:sz w:val="32"/>
          <w:szCs w:val="32"/>
        </w:rPr>
        <w:t>案件</w:t>
      </w:r>
      <w:r w:rsidRPr="00020EF0">
        <w:rPr>
          <w:rFonts w:ascii="仿宋_GB2312" w:eastAsia="仿宋_GB2312" w:hint="eastAsia"/>
          <w:sz w:val="32"/>
          <w:szCs w:val="32"/>
        </w:rPr>
        <w:t>审判工作，加大</w:t>
      </w:r>
      <w:r w:rsidR="00C4537A" w:rsidRPr="00020EF0">
        <w:rPr>
          <w:rFonts w:ascii="仿宋_GB2312" w:eastAsia="仿宋_GB2312"/>
          <w:sz w:val="32"/>
          <w:szCs w:val="32"/>
        </w:rPr>
        <w:t>生物医药</w:t>
      </w:r>
      <w:r w:rsidR="00C4537A" w:rsidRPr="00020EF0">
        <w:rPr>
          <w:rFonts w:ascii="仿宋_GB2312" w:eastAsia="仿宋_GB2312" w:hint="eastAsia"/>
          <w:sz w:val="32"/>
          <w:szCs w:val="32"/>
        </w:rPr>
        <w:t>、</w:t>
      </w:r>
      <w:r w:rsidR="00C4537A">
        <w:rPr>
          <w:rFonts w:ascii="仿宋_GB2312" w:eastAsia="仿宋_GB2312" w:hint="eastAsia"/>
          <w:sz w:val="32"/>
          <w:szCs w:val="32"/>
        </w:rPr>
        <w:t>集成电路布图设计</w:t>
      </w:r>
      <w:r w:rsidRPr="00020EF0">
        <w:rPr>
          <w:rFonts w:ascii="仿宋_GB2312" w:eastAsia="仿宋_GB2312" w:hint="eastAsia"/>
          <w:sz w:val="32"/>
          <w:szCs w:val="32"/>
        </w:rPr>
        <w:t>等新领域新业态知识产权保护力度，服务济南打造新一代信息技术产业高地。在“帕博西尼原料药”发明专利权案中，</w:t>
      </w:r>
      <w:r w:rsidR="00F043A2" w:rsidRPr="00020EF0">
        <w:rPr>
          <w:rFonts w:ascii="仿宋_GB2312" w:eastAsia="仿宋_GB2312" w:hint="eastAsia"/>
          <w:sz w:val="32"/>
          <w:szCs w:val="32"/>
        </w:rPr>
        <w:t>被诉原料药明确标注</w:t>
      </w:r>
      <w:r w:rsidR="00020EF0" w:rsidRPr="00020EF0">
        <w:rPr>
          <w:rFonts w:ascii="仿宋_GB2312" w:eastAsia="仿宋_GB2312" w:hint="eastAsia"/>
          <w:sz w:val="32"/>
          <w:szCs w:val="32"/>
        </w:rPr>
        <w:t>代</w:t>
      </w:r>
      <w:r w:rsidR="00020EF0" w:rsidRPr="00020EF0">
        <w:rPr>
          <w:rFonts w:ascii="仿宋_GB2312" w:eastAsia="仿宋_GB2312" w:hint="eastAsia"/>
          <w:sz w:val="32"/>
          <w:szCs w:val="32"/>
        </w:rPr>
        <w:lastRenderedPageBreak/>
        <w:t>表化合物</w:t>
      </w:r>
      <w:r w:rsidR="00BA12C3">
        <w:rPr>
          <w:rFonts w:ascii="仿宋_GB2312" w:eastAsia="仿宋_GB2312" w:hint="eastAsia"/>
          <w:sz w:val="32"/>
          <w:szCs w:val="32"/>
        </w:rPr>
        <w:t>成分</w:t>
      </w:r>
      <w:r w:rsidR="00020EF0" w:rsidRPr="00020EF0">
        <w:rPr>
          <w:rFonts w:ascii="仿宋_GB2312" w:eastAsia="仿宋_GB2312" w:hint="eastAsia"/>
          <w:sz w:val="32"/>
          <w:szCs w:val="32"/>
        </w:rPr>
        <w:t>的数字识别号</w:t>
      </w:r>
      <w:r w:rsidR="00665488" w:rsidRPr="00020EF0">
        <w:rPr>
          <w:rFonts w:ascii="仿宋_GB2312" w:eastAsia="仿宋_GB2312" w:hint="eastAsia"/>
          <w:sz w:val="32"/>
          <w:szCs w:val="32"/>
        </w:rPr>
        <w:t>，而被告不能对其</w:t>
      </w:r>
      <w:r w:rsidR="00020EF0">
        <w:rPr>
          <w:rFonts w:ascii="仿宋_GB2312" w:eastAsia="仿宋_GB2312" w:hint="eastAsia"/>
          <w:sz w:val="32"/>
          <w:szCs w:val="32"/>
        </w:rPr>
        <w:t>作</w:t>
      </w:r>
      <w:r w:rsidR="00665488" w:rsidRPr="00020EF0">
        <w:rPr>
          <w:rFonts w:ascii="仿宋_GB2312" w:eastAsia="仿宋_GB2312" w:hint="eastAsia"/>
          <w:sz w:val="32"/>
          <w:szCs w:val="32"/>
        </w:rPr>
        <w:t>出合理解释，</w:t>
      </w:r>
      <w:r w:rsidR="00F043A2" w:rsidRPr="00020EF0">
        <w:rPr>
          <w:rFonts w:ascii="仿宋_GB2312" w:eastAsia="仿宋_GB2312" w:hint="eastAsia"/>
          <w:sz w:val="32"/>
          <w:szCs w:val="32"/>
        </w:rPr>
        <w:t>法院</w:t>
      </w:r>
      <w:r w:rsidR="00F043A2" w:rsidRPr="00020EF0">
        <w:rPr>
          <w:rFonts w:ascii="仿宋_GB2312" w:eastAsia="仿宋_GB2312"/>
          <w:sz w:val="32"/>
          <w:szCs w:val="32"/>
        </w:rPr>
        <w:t>综合案件其他事实</w:t>
      </w:r>
      <w:r w:rsidR="00EA21BA">
        <w:rPr>
          <w:rFonts w:ascii="仿宋_GB2312" w:eastAsia="仿宋_GB2312" w:hint="eastAsia"/>
          <w:sz w:val="32"/>
          <w:szCs w:val="32"/>
        </w:rPr>
        <w:t>，</w:t>
      </w:r>
      <w:r w:rsidR="00EA21BA" w:rsidRPr="00EA21BA">
        <w:rPr>
          <w:rFonts w:ascii="仿宋_GB2312" w:eastAsia="仿宋_GB2312" w:hint="eastAsia"/>
          <w:sz w:val="32"/>
          <w:szCs w:val="32"/>
        </w:rPr>
        <w:t>推定该被诉侵权产品落入</w:t>
      </w:r>
      <w:r w:rsidR="00BA12C3">
        <w:rPr>
          <w:rFonts w:ascii="仿宋_GB2312" w:eastAsia="仿宋_GB2312" w:hint="eastAsia"/>
          <w:sz w:val="32"/>
          <w:szCs w:val="32"/>
        </w:rPr>
        <w:t>专</w:t>
      </w:r>
      <w:r w:rsidR="00EA21BA">
        <w:rPr>
          <w:rFonts w:ascii="仿宋_GB2312" w:eastAsia="仿宋_GB2312" w:hAnsi="仿宋_GB2312" w:cs="仿宋_GB2312" w:hint="eastAsia"/>
          <w:sz w:val="32"/>
          <w:szCs w:val="32"/>
        </w:rPr>
        <w:t>利权</w:t>
      </w:r>
      <w:r w:rsidR="00F043A2" w:rsidRPr="00020EF0">
        <w:rPr>
          <w:rFonts w:ascii="仿宋_GB2312" w:eastAsia="仿宋_GB2312" w:hAnsi="仿宋_GB2312" w:cs="仿宋_GB2312" w:hint="eastAsia"/>
          <w:sz w:val="32"/>
          <w:szCs w:val="32"/>
        </w:rPr>
        <w:t>保护范围，</w:t>
      </w:r>
      <w:r w:rsidR="00EA21BA" w:rsidRPr="00EA21BA">
        <w:rPr>
          <w:rFonts w:ascii="仿宋_GB2312" w:eastAsia="仿宋_GB2312" w:hAnsi="仿宋_GB2312" w:cs="仿宋_GB2312" w:hint="eastAsia"/>
          <w:sz w:val="32"/>
          <w:szCs w:val="32"/>
        </w:rPr>
        <w:t>避免了繁杂的司法鉴定</w:t>
      </w:r>
      <w:r w:rsidR="00EA21BA">
        <w:rPr>
          <w:rFonts w:ascii="仿宋_GB2312" w:eastAsia="仿宋_GB2312" w:hAnsi="仿宋_GB2312" w:cs="仿宋_GB2312" w:hint="eastAsia"/>
          <w:sz w:val="32"/>
          <w:szCs w:val="32"/>
        </w:rPr>
        <w:t>程序</w:t>
      </w:r>
      <w:r w:rsidR="00EA21BA" w:rsidRPr="00EA21B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EA21BA">
        <w:rPr>
          <w:rFonts w:ascii="仿宋_GB2312" w:eastAsia="仿宋_GB2312" w:hAnsi="仿宋_GB2312" w:cs="仿宋_GB2312" w:hint="eastAsia"/>
          <w:sz w:val="32"/>
          <w:szCs w:val="32"/>
        </w:rPr>
        <w:t>依法</w:t>
      </w:r>
      <w:r w:rsidR="00BA12C3">
        <w:rPr>
          <w:rFonts w:ascii="仿宋_GB2312" w:eastAsia="仿宋_GB2312" w:hAnsi="仿宋_GB2312" w:cs="仿宋_GB2312" w:hint="eastAsia"/>
          <w:sz w:val="32"/>
          <w:szCs w:val="32"/>
        </w:rPr>
        <w:t>降低</w:t>
      </w:r>
      <w:r w:rsidR="00EA21BA">
        <w:rPr>
          <w:rFonts w:ascii="仿宋_GB2312" w:eastAsia="仿宋_GB2312" w:hAnsi="仿宋_GB2312" w:cs="仿宋_GB2312" w:hint="eastAsia"/>
          <w:sz w:val="32"/>
          <w:szCs w:val="32"/>
        </w:rPr>
        <w:t>权利人</w:t>
      </w:r>
      <w:r w:rsidR="00EA21BA">
        <w:rPr>
          <w:rFonts w:ascii="仿宋_GB2312" w:eastAsia="仿宋_GB2312" w:hAnsi="仿宋_GB2312" w:cs="仿宋_GB2312"/>
          <w:sz w:val="32"/>
          <w:szCs w:val="32"/>
        </w:rPr>
        <w:t>的维权</w:t>
      </w:r>
      <w:r w:rsidR="00EA21BA">
        <w:rPr>
          <w:rFonts w:ascii="仿宋_GB2312" w:eastAsia="仿宋_GB2312" w:hAnsi="仿宋_GB2312" w:cs="仿宋_GB2312" w:hint="eastAsia"/>
          <w:sz w:val="32"/>
          <w:szCs w:val="32"/>
        </w:rPr>
        <w:t>成本</w:t>
      </w:r>
      <w:r w:rsidR="00EA21BA" w:rsidRPr="00EA21BA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4E080A">
        <w:rPr>
          <w:rFonts w:ascii="仿宋_GB2312" w:eastAsia="仿宋_GB2312" w:hint="eastAsia"/>
          <w:sz w:val="32"/>
          <w:szCs w:val="32"/>
        </w:rPr>
        <w:t>“</w:t>
      </w:r>
      <w:r w:rsidR="00BA12C3">
        <w:rPr>
          <w:rFonts w:ascii="仿宋_GB2312" w:eastAsia="仿宋_GB2312" w:hint="eastAsia"/>
          <w:sz w:val="32"/>
          <w:szCs w:val="32"/>
        </w:rPr>
        <w:t>一种</w:t>
      </w:r>
      <w:r w:rsidR="001570BA" w:rsidRPr="001570BA">
        <w:rPr>
          <w:rFonts w:ascii="仿宋_GB2312" w:eastAsia="仿宋_GB2312" w:hint="eastAsia"/>
          <w:sz w:val="32"/>
          <w:szCs w:val="32"/>
        </w:rPr>
        <w:t>气化炉出口气体喷淋装置</w:t>
      </w:r>
      <w:r w:rsidR="004E080A" w:rsidRPr="00C66781">
        <w:rPr>
          <w:rFonts w:ascii="仿宋_GB2312" w:eastAsia="仿宋_GB2312" w:hint="eastAsia"/>
          <w:sz w:val="32"/>
          <w:szCs w:val="32"/>
        </w:rPr>
        <w:t>”</w:t>
      </w:r>
      <w:r w:rsidR="004E080A">
        <w:rPr>
          <w:rFonts w:ascii="仿宋_GB2312" w:eastAsia="仿宋_GB2312" w:hint="eastAsia"/>
          <w:sz w:val="32"/>
          <w:szCs w:val="32"/>
        </w:rPr>
        <w:t>专利</w:t>
      </w:r>
      <w:r w:rsidR="004E080A" w:rsidRPr="00C66781">
        <w:rPr>
          <w:rFonts w:ascii="仿宋_GB2312" w:eastAsia="仿宋_GB2312" w:hint="eastAsia"/>
          <w:sz w:val="32"/>
          <w:szCs w:val="32"/>
        </w:rPr>
        <w:t>权属案</w:t>
      </w:r>
      <w:r w:rsidR="004E080A">
        <w:rPr>
          <w:rFonts w:ascii="仿宋_GB2312" w:eastAsia="仿宋_GB2312" w:hint="eastAsia"/>
          <w:sz w:val="32"/>
          <w:szCs w:val="32"/>
        </w:rPr>
        <w:t>，</w:t>
      </w:r>
      <w:r w:rsidR="004E080A">
        <w:rPr>
          <w:rFonts w:ascii="仿宋_GB2312" w:eastAsia="仿宋_GB2312"/>
          <w:sz w:val="32"/>
          <w:szCs w:val="32"/>
        </w:rPr>
        <w:t>明确了在非公开技术方案基础上申请</w:t>
      </w:r>
      <w:r w:rsidR="004E080A">
        <w:rPr>
          <w:rFonts w:ascii="仿宋_GB2312" w:eastAsia="仿宋_GB2312" w:hint="eastAsia"/>
          <w:sz w:val="32"/>
          <w:szCs w:val="32"/>
        </w:rPr>
        <w:t>专利</w:t>
      </w:r>
      <w:r w:rsidR="004E080A">
        <w:rPr>
          <w:rFonts w:ascii="仿宋_GB2312" w:eastAsia="仿宋_GB2312"/>
          <w:sz w:val="32"/>
          <w:szCs w:val="32"/>
        </w:rPr>
        <w:t>权属的裁判原则及标准，</w:t>
      </w:r>
      <w:r w:rsidR="00A67CCE">
        <w:rPr>
          <w:rFonts w:ascii="仿宋_GB2312" w:eastAsia="仿宋_GB2312" w:hint="eastAsia"/>
          <w:sz w:val="32"/>
          <w:szCs w:val="32"/>
        </w:rPr>
        <w:t>有力</w:t>
      </w:r>
      <w:r w:rsidR="00A67CCE">
        <w:rPr>
          <w:rFonts w:ascii="仿宋_GB2312" w:eastAsia="仿宋_GB2312"/>
          <w:sz w:val="32"/>
          <w:szCs w:val="32"/>
        </w:rPr>
        <w:t>保护了企业的自主创新</w:t>
      </w:r>
      <w:r w:rsidR="00A67CCE">
        <w:rPr>
          <w:rFonts w:ascii="仿宋_GB2312" w:eastAsia="仿宋_GB2312" w:hint="eastAsia"/>
          <w:sz w:val="32"/>
          <w:szCs w:val="32"/>
        </w:rPr>
        <w:t>成果</w:t>
      </w:r>
      <w:r w:rsidR="00A67CCE">
        <w:rPr>
          <w:rFonts w:ascii="仿宋_GB2312" w:eastAsia="仿宋_GB2312"/>
          <w:sz w:val="32"/>
          <w:szCs w:val="32"/>
        </w:rPr>
        <w:t>，</w:t>
      </w:r>
      <w:r w:rsidR="004E080A">
        <w:rPr>
          <w:rFonts w:ascii="仿宋_GB2312" w:eastAsia="仿宋_GB2312" w:hint="eastAsia"/>
          <w:sz w:val="32"/>
          <w:szCs w:val="32"/>
        </w:rPr>
        <w:t>对</w:t>
      </w:r>
      <w:r w:rsidR="004E080A">
        <w:rPr>
          <w:rFonts w:ascii="仿宋_GB2312" w:eastAsia="仿宋_GB2312"/>
          <w:sz w:val="32"/>
          <w:szCs w:val="32"/>
        </w:rPr>
        <w:t>促进企业创新发展具有积极意义。</w:t>
      </w:r>
    </w:p>
    <w:p w:rsidR="00C66781" w:rsidRPr="005C04B0" w:rsidRDefault="00666FB2" w:rsidP="005C04B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20EF0">
        <w:rPr>
          <w:rFonts w:ascii="楷体_GB2312" w:eastAsia="楷体_GB2312" w:hint="eastAsia"/>
          <w:sz w:val="32"/>
          <w:szCs w:val="32"/>
        </w:rPr>
        <w:t>（</w:t>
      </w:r>
      <w:r w:rsidR="00AD19B7">
        <w:rPr>
          <w:rFonts w:ascii="楷体_GB2312" w:eastAsia="楷体_GB2312" w:hint="eastAsia"/>
          <w:sz w:val="32"/>
          <w:szCs w:val="32"/>
        </w:rPr>
        <w:t>三</w:t>
      </w:r>
      <w:r w:rsidRPr="00020EF0">
        <w:rPr>
          <w:rFonts w:ascii="楷体_GB2312" w:eastAsia="楷体_GB2312" w:hint="eastAsia"/>
          <w:sz w:val="32"/>
          <w:szCs w:val="32"/>
        </w:rPr>
        <w:t>）</w:t>
      </w:r>
      <w:r w:rsidR="00173981" w:rsidRPr="00020EF0">
        <w:rPr>
          <w:rFonts w:ascii="楷体_GB2312" w:eastAsia="楷体_GB2312" w:hint="eastAsia"/>
          <w:sz w:val="32"/>
          <w:szCs w:val="32"/>
        </w:rPr>
        <w:t>合理</w:t>
      </w:r>
      <w:r w:rsidR="00173981" w:rsidRPr="00020EF0">
        <w:rPr>
          <w:rFonts w:ascii="楷体_GB2312" w:eastAsia="楷体_GB2312"/>
          <w:sz w:val="32"/>
          <w:szCs w:val="32"/>
        </w:rPr>
        <w:t>界定权利边界</w:t>
      </w:r>
      <w:r w:rsidRPr="00020EF0">
        <w:rPr>
          <w:rFonts w:ascii="楷体_GB2312" w:eastAsia="楷体_GB2312" w:hint="eastAsia"/>
          <w:sz w:val="32"/>
          <w:szCs w:val="32"/>
        </w:rPr>
        <w:t>，</w:t>
      </w:r>
      <w:r w:rsidR="005B086F" w:rsidRPr="00020EF0">
        <w:rPr>
          <w:rFonts w:ascii="楷体_GB2312" w:eastAsia="楷体_GB2312" w:hint="eastAsia"/>
          <w:sz w:val="32"/>
          <w:szCs w:val="32"/>
        </w:rPr>
        <w:t>加强</w:t>
      </w:r>
      <w:r w:rsidR="00173981" w:rsidRPr="00020EF0">
        <w:rPr>
          <w:rFonts w:ascii="楷体_GB2312" w:eastAsia="楷体_GB2312" w:hint="eastAsia"/>
          <w:sz w:val="32"/>
          <w:szCs w:val="32"/>
        </w:rPr>
        <w:t>商业</w:t>
      </w:r>
      <w:r w:rsidR="00173981">
        <w:rPr>
          <w:rFonts w:ascii="楷体_GB2312" w:eastAsia="楷体_GB2312"/>
          <w:color w:val="000000" w:themeColor="text1"/>
          <w:sz w:val="32"/>
          <w:szCs w:val="32"/>
        </w:rPr>
        <w:t>品牌</w:t>
      </w:r>
      <w:r w:rsidR="005B086F" w:rsidRPr="005B086F">
        <w:rPr>
          <w:rFonts w:ascii="楷体_GB2312" w:eastAsia="楷体_GB2312" w:hint="eastAsia"/>
          <w:color w:val="000000" w:themeColor="text1"/>
          <w:sz w:val="32"/>
          <w:szCs w:val="32"/>
        </w:rPr>
        <w:t>保护</w:t>
      </w:r>
      <w:r w:rsidR="00D47193">
        <w:rPr>
          <w:rFonts w:ascii="楷体_GB2312" w:eastAsia="楷体_GB2312" w:hint="eastAsia"/>
          <w:color w:val="000000" w:themeColor="text1"/>
          <w:sz w:val="32"/>
          <w:szCs w:val="32"/>
        </w:rPr>
        <w:t>。</w:t>
      </w:r>
      <w:r w:rsidR="00232476">
        <w:rPr>
          <w:rFonts w:ascii="仿宋_GB2312" w:eastAsia="仿宋_GB2312" w:hint="eastAsia"/>
          <w:sz w:val="32"/>
          <w:szCs w:val="32"/>
        </w:rPr>
        <w:t>合理界定商标权的权利边界与保护范围，</w:t>
      </w:r>
      <w:r w:rsidR="005B086F" w:rsidRPr="00033C8D">
        <w:rPr>
          <w:rFonts w:ascii="仿宋_GB2312" w:eastAsia="仿宋_GB2312" w:hint="eastAsia"/>
          <w:sz w:val="32"/>
          <w:szCs w:val="32"/>
        </w:rPr>
        <w:t>准确把握驰名商标司法认定和保护的法律定位</w:t>
      </w:r>
      <w:r w:rsidR="0074214F" w:rsidRPr="00033C8D">
        <w:rPr>
          <w:rFonts w:ascii="仿宋_GB2312" w:eastAsia="仿宋_GB2312" w:hint="eastAsia"/>
          <w:sz w:val="32"/>
          <w:szCs w:val="32"/>
        </w:rPr>
        <w:t>，</w:t>
      </w:r>
      <w:r w:rsidR="00173981" w:rsidRPr="00033C8D">
        <w:rPr>
          <w:rFonts w:ascii="仿宋_GB2312" w:eastAsia="仿宋_GB2312" w:hint="eastAsia"/>
          <w:sz w:val="32"/>
          <w:szCs w:val="32"/>
        </w:rPr>
        <w:t>遏制“搭便车”“傍名牌”行为</w:t>
      </w:r>
      <w:r w:rsidR="0074214F" w:rsidRPr="00033C8D">
        <w:rPr>
          <w:rFonts w:ascii="仿宋_GB2312" w:eastAsia="仿宋_GB2312" w:hint="eastAsia"/>
          <w:sz w:val="32"/>
          <w:szCs w:val="32"/>
        </w:rPr>
        <w:t>，</w:t>
      </w:r>
      <w:r w:rsidR="00173981" w:rsidRPr="00033C8D">
        <w:rPr>
          <w:rFonts w:ascii="仿宋_GB2312" w:eastAsia="仿宋_GB2312" w:hint="eastAsia"/>
          <w:sz w:val="32"/>
          <w:szCs w:val="32"/>
        </w:rPr>
        <w:t>助力</w:t>
      </w:r>
      <w:r w:rsidR="005C04B0">
        <w:rPr>
          <w:rFonts w:ascii="仿宋_GB2312" w:eastAsia="仿宋_GB2312" w:hint="eastAsia"/>
          <w:sz w:val="32"/>
          <w:szCs w:val="32"/>
        </w:rPr>
        <w:t>培育自主品牌的形成</w:t>
      </w:r>
      <w:r w:rsidR="005C04B0">
        <w:rPr>
          <w:rFonts w:ascii="仿宋_GB2312" w:eastAsia="仿宋_GB2312"/>
          <w:sz w:val="32"/>
          <w:szCs w:val="32"/>
        </w:rPr>
        <w:t>和品牌经济的发展</w:t>
      </w:r>
      <w:r w:rsidR="005C04B0">
        <w:rPr>
          <w:rFonts w:ascii="仿宋_GB2312" w:eastAsia="仿宋_GB2312" w:hint="eastAsia"/>
          <w:sz w:val="32"/>
          <w:szCs w:val="32"/>
        </w:rPr>
        <w:t>。在“格力”</w:t>
      </w:r>
      <w:r w:rsidR="0096187F" w:rsidRPr="0096187F">
        <w:rPr>
          <w:rFonts w:ascii="仿宋_GB2312" w:eastAsia="仿宋_GB2312" w:hint="eastAsia"/>
          <w:sz w:val="32"/>
          <w:szCs w:val="32"/>
        </w:rPr>
        <w:t>商标及不正当竞争案中，</w:t>
      </w:r>
      <w:r w:rsidR="005C04B0">
        <w:rPr>
          <w:rFonts w:ascii="仿宋_GB2312" w:eastAsia="仿宋_GB2312"/>
          <w:sz w:val="32"/>
          <w:szCs w:val="32"/>
        </w:rPr>
        <w:t>认定</w:t>
      </w:r>
      <w:r w:rsidR="005C04B0">
        <w:rPr>
          <w:rFonts w:ascii="仿宋_GB2312" w:eastAsia="仿宋_GB2312" w:hint="eastAsia"/>
          <w:sz w:val="32"/>
          <w:szCs w:val="32"/>
        </w:rPr>
        <w:t>涉案</w:t>
      </w:r>
      <w:r w:rsidR="005C04B0" w:rsidRPr="005C04B0">
        <w:rPr>
          <w:rFonts w:ascii="仿宋_GB2312" w:eastAsia="仿宋_GB2312" w:hint="eastAsia"/>
          <w:sz w:val="32"/>
          <w:szCs w:val="32"/>
        </w:rPr>
        <w:t>商标</w:t>
      </w:r>
      <w:r w:rsidR="005C04B0">
        <w:rPr>
          <w:rFonts w:ascii="仿宋_GB2312" w:eastAsia="仿宋_GB2312" w:hint="eastAsia"/>
          <w:sz w:val="32"/>
          <w:szCs w:val="32"/>
        </w:rPr>
        <w:t>经长期宣传、使用，已</w:t>
      </w:r>
      <w:r w:rsidR="00BA12C3">
        <w:rPr>
          <w:rFonts w:ascii="仿宋_GB2312" w:eastAsia="仿宋_GB2312" w:hint="eastAsia"/>
          <w:sz w:val="32"/>
          <w:szCs w:val="32"/>
        </w:rPr>
        <w:t>达</w:t>
      </w:r>
      <w:r w:rsidR="005C04B0">
        <w:rPr>
          <w:rFonts w:ascii="仿宋_GB2312" w:eastAsia="仿宋_GB2312" w:hint="eastAsia"/>
          <w:sz w:val="32"/>
          <w:szCs w:val="32"/>
        </w:rPr>
        <w:t>到为相关公众所广为知悉的程度，应当作为驰名商标予以跨类保护，</w:t>
      </w:r>
      <w:r w:rsidR="005C04B0" w:rsidRPr="005C04B0">
        <w:rPr>
          <w:rFonts w:ascii="仿宋_GB2312" w:eastAsia="仿宋_GB2312" w:hint="eastAsia"/>
          <w:sz w:val="32"/>
          <w:szCs w:val="32"/>
        </w:rPr>
        <w:t>判决</w:t>
      </w:r>
      <w:r w:rsidR="005C04B0">
        <w:rPr>
          <w:rFonts w:ascii="仿宋_GB2312" w:eastAsia="仿宋_GB2312" w:hint="eastAsia"/>
          <w:sz w:val="32"/>
          <w:szCs w:val="32"/>
        </w:rPr>
        <w:t>被告赔偿</w:t>
      </w:r>
      <w:r w:rsidR="005C04B0" w:rsidRPr="005C04B0">
        <w:rPr>
          <w:rFonts w:ascii="仿宋_GB2312" w:eastAsia="仿宋_GB2312" w:hint="eastAsia"/>
          <w:sz w:val="32"/>
          <w:szCs w:val="32"/>
        </w:rPr>
        <w:t>100万元</w:t>
      </w:r>
      <w:r w:rsidR="005C04B0" w:rsidRPr="00EC26D1">
        <w:rPr>
          <w:rFonts w:ascii="仿宋_GB2312" w:eastAsia="仿宋_GB2312" w:hint="eastAsia"/>
          <w:color w:val="0D0D0D" w:themeColor="text1" w:themeTint="F2"/>
          <w:sz w:val="32"/>
          <w:szCs w:val="32"/>
        </w:rPr>
        <w:t>。</w:t>
      </w:r>
      <w:r w:rsidR="00C93B5F" w:rsidRPr="00EC26D1">
        <w:rPr>
          <w:rFonts w:ascii="仿宋_GB2312" w:eastAsia="仿宋_GB2312" w:hint="eastAsia"/>
          <w:color w:val="0D0D0D" w:themeColor="text1" w:themeTint="F2"/>
          <w:sz w:val="32"/>
          <w:szCs w:val="32"/>
        </w:rPr>
        <w:t>在“超意兴”商标及不正当竞争案</w:t>
      </w:r>
      <w:r w:rsidR="005C04B0" w:rsidRPr="00EC26D1">
        <w:rPr>
          <w:rFonts w:ascii="仿宋_GB2312" w:eastAsia="仿宋_GB2312" w:hint="eastAsia"/>
          <w:color w:val="0D0D0D" w:themeColor="text1" w:themeTint="F2"/>
          <w:sz w:val="32"/>
          <w:szCs w:val="32"/>
        </w:rPr>
        <w:t>中，认定</w:t>
      </w:r>
      <w:r w:rsidR="005C04B0" w:rsidRPr="00EC26D1">
        <w:rPr>
          <w:rFonts w:ascii="仿宋_GB2312" w:eastAsia="仿宋_GB2312"/>
          <w:color w:val="0D0D0D" w:themeColor="text1" w:themeTint="F2"/>
          <w:sz w:val="32"/>
          <w:szCs w:val="32"/>
        </w:rPr>
        <w:t>被告</w:t>
      </w:r>
      <w:r w:rsidR="00C93B5F" w:rsidRPr="00EC26D1">
        <w:rPr>
          <w:rFonts w:ascii="仿宋_GB2312" w:eastAsia="仿宋_GB2312" w:hint="eastAsia"/>
          <w:color w:val="0D0D0D" w:themeColor="text1" w:themeTint="F2"/>
          <w:sz w:val="32"/>
          <w:szCs w:val="32"/>
        </w:rPr>
        <w:t>擅自在相同的餐饮服务上使用近似商标，并</w:t>
      </w:r>
      <w:r w:rsidR="00BA12C3">
        <w:rPr>
          <w:rFonts w:ascii="仿宋_GB2312" w:eastAsia="仿宋_GB2312" w:hint="eastAsia"/>
          <w:color w:val="0D0D0D" w:themeColor="text1" w:themeTint="F2"/>
          <w:sz w:val="32"/>
          <w:szCs w:val="32"/>
        </w:rPr>
        <w:t>模仿使用超意兴公司有一定影响</w:t>
      </w:r>
      <w:r w:rsidR="005C04B0" w:rsidRPr="00EC26D1">
        <w:rPr>
          <w:rFonts w:ascii="仿宋_GB2312" w:eastAsia="仿宋_GB2312" w:hint="eastAsia"/>
          <w:color w:val="0D0D0D" w:themeColor="text1" w:themeTint="F2"/>
          <w:sz w:val="32"/>
          <w:szCs w:val="32"/>
        </w:rPr>
        <w:t>的装潢</w:t>
      </w:r>
      <w:r w:rsidR="00C93B5F" w:rsidRPr="00EC26D1">
        <w:rPr>
          <w:rFonts w:ascii="仿宋_GB2312" w:eastAsia="仿宋_GB2312" w:hint="eastAsia"/>
          <w:color w:val="0D0D0D" w:themeColor="text1" w:themeTint="F2"/>
          <w:sz w:val="32"/>
          <w:szCs w:val="32"/>
        </w:rPr>
        <w:t>，构成商标侵权及不正当竞争，</w:t>
      </w:r>
      <w:r w:rsidR="005C04B0" w:rsidRPr="00EC26D1">
        <w:rPr>
          <w:rFonts w:ascii="仿宋_GB2312" w:eastAsia="仿宋_GB2312" w:hint="eastAsia"/>
          <w:color w:val="0D0D0D" w:themeColor="text1" w:themeTint="F2"/>
          <w:sz w:val="32"/>
          <w:szCs w:val="32"/>
        </w:rPr>
        <w:t>判决被告</w:t>
      </w:r>
      <w:r w:rsidR="00C93B5F" w:rsidRPr="00EC26D1">
        <w:rPr>
          <w:rFonts w:ascii="仿宋_GB2312" w:eastAsia="仿宋_GB2312" w:hint="eastAsia"/>
          <w:color w:val="0D0D0D" w:themeColor="text1" w:themeTint="F2"/>
          <w:sz w:val="32"/>
          <w:szCs w:val="32"/>
        </w:rPr>
        <w:t>赔偿500万元。</w:t>
      </w:r>
      <w:r w:rsidR="005C04B0" w:rsidRPr="00EC26D1">
        <w:rPr>
          <w:rFonts w:ascii="仿宋_GB2312" w:eastAsia="仿宋_GB2312"/>
          <w:color w:val="0D0D0D" w:themeColor="text1" w:themeTint="F2"/>
          <w:sz w:val="32"/>
          <w:szCs w:val="32"/>
        </w:rPr>
        <w:t xml:space="preserve"> </w:t>
      </w:r>
    </w:p>
    <w:p w:rsidR="008A524A" w:rsidRPr="0051184C" w:rsidRDefault="00665488" w:rsidP="0051184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B4A14">
        <w:rPr>
          <w:rFonts w:ascii="楷体_GB2312" w:eastAsia="楷体_GB2312" w:hint="eastAsia"/>
          <w:color w:val="000000" w:themeColor="text1"/>
          <w:sz w:val="32"/>
          <w:szCs w:val="32"/>
        </w:rPr>
        <w:t>（</w:t>
      </w:r>
      <w:r w:rsidR="00AD19B7">
        <w:rPr>
          <w:rFonts w:ascii="楷体_GB2312" w:eastAsia="楷体_GB2312" w:hint="eastAsia"/>
          <w:color w:val="000000" w:themeColor="text1"/>
          <w:sz w:val="32"/>
          <w:szCs w:val="32"/>
        </w:rPr>
        <w:t>四</w:t>
      </w:r>
      <w:r w:rsidRPr="009B4A14">
        <w:rPr>
          <w:rFonts w:ascii="楷体_GB2312" w:eastAsia="楷体_GB2312" w:hint="eastAsia"/>
          <w:color w:val="000000" w:themeColor="text1"/>
          <w:sz w:val="32"/>
          <w:szCs w:val="32"/>
        </w:rPr>
        <w:t>）</w:t>
      </w:r>
      <w:r w:rsidR="003220CB">
        <w:rPr>
          <w:rFonts w:ascii="楷体_GB2312" w:eastAsia="楷体_GB2312" w:hint="eastAsia"/>
          <w:color w:val="000000" w:themeColor="text1"/>
          <w:sz w:val="32"/>
          <w:szCs w:val="32"/>
        </w:rPr>
        <w:t>加大刑事打击力度，</w:t>
      </w:r>
      <w:r w:rsidR="008A524A">
        <w:rPr>
          <w:rFonts w:ascii="楷体_GB2312" w:eastAsia="楷体_GB2312" w:hint="eastAsia"/>
          <w:color w:val="000000" w:themeColor="text1"/>
          <w:sz w:val="32"/>
          <w:szCs w:val="32"/>
        </w:rPr>
        <w:t>惩治知识产权犯罪</w:t>
      </w:r>
      <w:r w:rsidR="00D47193">
        <w:rPr>
          <w:rFonts w:ascii="楷体_GB2312" w:eastAsia="楷体_GB2312" w:hint="eastAsia"/>
          <w:color w:val="000000" w:themeColor="text1"/>
          <w:sz w:val="32"/>
          <w:szCs w:val="32"/>
        </w:rPr>
        <w:t>。</w:t>
      </w:r>
      <w:r w:rsidR="00425272" w:rsidRPr="00425272">
        <w:rPr>
          <w:rFonts w:ascii="仿宋_GB2312" w:eastAsia="仿宋_GB2312" w:hint="eastAsia"/>
          <w:color w:val="000000" w:themeColor="text1"/>
          <w:sz w:val="32"/>
          <w:szCs w:val="32"/>
        </w:rPr>
        <w:t>严格执行两高《关于办理侵犯知识产权刑事案件具体应用法律若干问题的解释（三）》</w:t>
      </w:r>
      <w:r w:rsidR="00425272">
        <w:rPr>
          <w:rFonts w:ascii="仿宋_GB2312" w:eastAsia="仿宋_GB2312" w:hint="eastAsia"/>
          <w:color w:val="000000" w:themeColor="text1"/>
          <w:sz w:val="32"/>
          <w:szCs w:val="32"/>
        </w:rPr>
        <w:t>的</w:t>
      </w:r>
      <w:r w:rsidR="00425272">
        <w:rPr>
          <w:rFonts w:ascii="仿宋_GB2312" w:eastAsia="仿宋_GB2312"/>
          <w:color w:val="000000" w:themeColor="text1"/>
          <w:sz w:val="32"/>
          <w:szCs w:val="32"/>
        </w:rPr>
        <w:t>规定，</w:t>
      </w:r>
      <w:r w:rsidR="00E92336" w:rsidRPr="00033C8D">
        <w:rPr>
          <w:rFonts w:ascii="仿宋_GB2312" w:eastAsia="仿宋_GB2312" w:hint="eastAsia"/>
          <w:sz w:val="32"/>
          <w:szCs w:val="32"/>
        </w:rPr>
        <w:t>依法加大罚金刑的适用与执行力度，通过采取追缴违法所得、收缴犯罪工具、销毁</w:t>
      </w:r>
      <w:r w:rsidR="00E92336" w:rsidRPr="00C93B5F">
        <w:rPr>
          <w:rFonts w:ascii="仿宋_GB2312" w:eastAsia="仿宋_GB2312" w:hint="eastAsia"/>
          <w:sz w:val="32"/>
          <w:szCs w:val="32"/>
        </w:rPr>
        <w:t>侵权产品等措施，从经济上剥夺侵权人的再犯罪能力和条件。</w:t>
      </w:r>
      <w:r w:rsidR="0051184C">
        <w:rPr>
          <w:rFonts w:ascii="仿宋_GB2312" w:eastAsia="仿宋_GB2312" w:hint="eastAsia"/>
          <w:sz w:val="32"/>
          <w:szCs w:val="32"/>
        </w:rPr>
        <w:t>在</w:t>
      </w:r>
      <w:r w:rsidR="00243BF1" w:rsidRPr="00C93B5F">
        <w:rPr>
          <w:rFonts w:ascii="仿宋_GB2312" w:eastAsia="仿宋_GB2312" w:hint="eastAsia"/>
          <w:sz w:val="32"/>
          <w:szCs w:val="32"/>
        </w:rPr>
        <w:t>印制盗版教材</w:t>
      </w:r>
      <w:r w:rsidR="0051184C">
        <w:rPr>
          <w:rFonts w:ascii="仿宋_GB2312" w:eastAsia="仿宋_GB2312" w:hint="eastAsia"/>
          <w:sz w:val="32"/>
          <w:szCs w:val="32"/>
        </w:rPr>
        <w:t>侵犯著作权罪案</w:t>
      </w:r>
      <w:r w:rsidR="00243BF1" w:rsidRPr="00C93B5F">
        <w:rPr>
          <w:rFonts w:ascii="仿宋_GB2312" w:eastAsia="仿宋_GB2312" w:hint="eastAsia"/>
          <w:sz w:val="32"/>
          <w:szCs w:val="32"/>
        </w:rPr>
        <w:t>中，</w:t>
      </w:r>
      <w:r w:rsidR="00BA12C3">
        <w:rPr>
          <w:rFonts w:ascii="仿宋_GB2312" w:eastAsia="仿宋_GB2312" w:hint="eastAsia"/>
          <w:sz w:val="32"/>
          <w:szCs w:val="32"/>
        </w:rPr>
        <w:t>对被告人张某、孙某、于某判处有期徒刑，并分别并处罚金一百万元、七十万元、三十万元；对</w:t>
      </w:r>
      <w:r w:rsidR="0051184C" w:rsidRPr="0051184C">
        <w:rPr>
          <w:rFonts w:ascii="仿宋_GB2312" w:eastAsia="仿宋_GB2312" w:hint="eastAsia"/>
          <w:sz w:val="32"/>
          <w:szCs w:val="32"/>
        </w:rPr>
        <w:t>扣押在案的盗版书籍30</w:t>
      </w:r>
      <w:r w:rsidR="0051184C">
        <w:rPr>
          <w:rFonts w:ascii="仿宋_GB2312" w:eastAsia="仿宋_GB2312" w:hint="eastAsia"/>
          <w:sz w:val="32"/>
          <w:szCs w:val="32"/>
        </w:rPr>
        <w:t>万册</w:t>
      </w:r>
      <w:r w:rsidR="00BA12C3">
        <w:rPr>
          <w:rFonts w:ascii="仿宋_GB2312" w:eastAsia="仿宋_GB2312" w:hint="eastAsia"/>
          <w:sz w:val="32"/>
          <w:szCs w:val="32"/>
        </w:rPr>
        <w:t>予以销毁</w:t>
      </w:r>
      <w:r w:rsidR="00E92336" w:rsidRPr="00C93B5F">
        <w:rPr>
          <w:rFonts w:ascii="仿宋_GB2312" w:eastAsia="仿宋_GB2312" w:hint="eastAsia"/>
          <w:sz w:val="32"/>
          <w:szCs w:val="32"/>
        </w:rPr>
        <w:t>。</w:t>
      </w:r>
    </w:p>
    <w:p w:rsidR="00665488" w:rsidRPr="00C93B5F" w:rsidRDefault="008A524A" w:rsidP="00D47193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C93B5F">
        <w:rPr>
          <w:rFonts w:ascii="楷体_GB2312" w:eastAsia="楷体_GB2312" w:hint="eastAsia"/>
          <w:sz w:val="32"/>
          <w:szCs w:val="32"/>
        </w:rPr>
        <w:t>（</w:t>
      </w:r>
      <w:r w:rsidR="00AD19B7">
        <w:rPr>
          <w:rFonts w:ascii="楷体_GB2312" w:eastAsia="楷体_GB2312" w:hint="eastAsia"/>
          <w:sz w:val="32"/>
          <w:szCs w:val="32"/>
        </w:rPr>
        <w:t>五</w:t>
      </w:r>
      <w:r w:rsidRPr="00C93B5F">
        <w:rPr>
          <w:rFonts w:ascii="楷体_GB2312" w:eastAsia="楷体_GB2312" w:hint="eastAsia"/>
          <w:sz w:val="32"/>
          <w:szCs w:val="32"/>
        </w:rPr>
        <w:t>）</w:t>
      </w:r>
      <w:r w:rsidR="009B4A14" w:rsidRPr="00C93B5F">
        <w:rPr>
          <w:rFonts w:ascii="楷体_GB2312" w:eastAsia="楷体_GB2312" w:hint="eastAsia"/>
          <w:sz w:val="32"/>
          <w:szCs w:val="32"/>
        </w:rPr>
        <w:t>正确适用证据规则，</w:t>
      </w:r>
      <w:r w:rsidR="00972A4B" w:rsidRPr="00C93B5F">
        <w:rPr>
          <w:rFonts w:ascii="楷体_GB2312" w:eastAsia="楷体_GB2312" w:hint="eastAsia"/>
          <w:sz w:val="32"/>
          <w:szCs w:val="32"/>
        </w:rPr>
        <w:t>依法</w:t>
      </w:r>
      <w:r w:rsidR="008975D4">
        <w:rPr>
          <w:rFonts w:ascii="楷体_GB2312" w:eastAsia="楷体_GB2312" w:hint="eastAsia"/>
          <w:sz w:val="32"/>
          <w:szCs w:val="32"/>
        </w:rPr>
        <w:t>认定案件事实</w:t>
      </w:r>
      <w:r w:rsidR="00D47193" w:rsidRPr="00C93B5F">
        <w:rPr>
          <w:rFonts w:ascii="楷体_GB2312" w:eastAsia="楷体_GB2312" w:hint="eastAsia"/>
          <w:sz w:val="32"/>
          <w:szCs w:val="32"/>
        </w:rPr>
        <w:t>。</w:t>
      </w:r>
      <w:r w:rsidR="009B4A14" w:rsidRPr="00C93B5F">
        <w:rPr>
          <w:rFonts w:ascii="仿宋_GB2312" w:eastAsia="仿宋_GB2312" w:hint="eastAsia"/>
          <w:sz w:val="32"/>
          <w:szCs w:val="32"/>
        </w:rPr>
        <w:t>对权利人确</w:t>
      </w:r>
      <w:r w:rsidR="009B4A14" w:rsidRPr="00C93B5F">
        <w:rPr>
          <w:rFonts w:ascii="仿宋_GB2312" w:eastAsia="仿宋_GB2312" w:hint="eastAsia"/>
          <w:sz w:val="32"/>
          <w:szCs w:val="32"/>
        </w:rPr>
        <w:lastRenderedPageBreak/>
        <w:t>因客观原因不能自行收集证据的，在其向法院提出申请并提供初步</w:t>
      </w:r>
      <w:r w:rsidR="00972A4B" w:rsidRPr="00C93B5F">
        <w:rPr>
          <w:rFonts w:ascii="仿宋_GB2312" w:eastAsia="仿宋_GB2312" w:hint="eastAsia"/>
          <w:sz w:val="32"/>
          <w:szCs w:val="32"/>
        </w:rPr>
        <w:t>证据的情况下，及时采取证据保全措施，切实减轻权利人举证负担；</w:t>
      </w:r>
      <w:r w:rsidR="00A24F42" w:rsidRPr="00A24F42">
        <w:rPr>
          <w:rFonts w:ascii="仿宋_GB2312" w:eastAsia="仿宋_GB2312" w:hint="eastAsia"/>
          <w:sz w:val="32"/>
          <w:szCs w:val="32"/>
        </w:rPr>
        <w:t>当事人无正当理由拒不配合或者妨害证据保全，致使无法保全证据的，</w:t>
      </w:r>
      <w:r w:rsidR="00A24F42">
        <w:rPr>
          <w:rFonts w:ascii="仿宋_GB2312" w:eastAsia="仿宋_GB2312" w:hint="eastAsia"/>
          <w:sz w:val="32"/>
          <w:szCs w:val="32"/>
        </w:rPr>
        <w:t>依法确定由其承担不利后果</w:t>
      </w:r>
      <w:r w:rsidR="00101E7E">
        <w:rPr>
          <w:rFonts w:ascii="仿宋_GB2312" w:eastAsia="仿宋_GB2312" w:hint="eastAsia"/>
          <w:sz w:val="32"/>
          <w:szCs w:val="32"/>
        </w:rPr>
        <w:t>。在达索</w:t>
      </w:r>
      <w:r w:rsidR="009B4A14" w:rsidRPr="00C93B5F">
        <w:rPr>
          <w:rFonts w:ascii="仿宋_GB2312" w:eastAsia="仿宋_GB2312" w:hint="eastAsia"/>
          <w:sz w:val="32"/>
          <w:szCs w:val="32"/>
        </w:rPr>
        <w:t>计算机软件著作权案</w:t>
      </w:r>
      <w:r w:rsidR="00972A4B" w:rsidRPr="00C93B5F">
        <w:rPr>
          <w:rFonts w:ascii="仿宋_GB2312" w:eastAsia="仿宋_GB2312" w:hint="eastAsia"/>
          <w:sz w:val="32"/>
          <w:szCs w:val="32"/>
        </w:rPr>
        <w:t>中，</w:t>
      </w:r>
      <w:r w:rsidR="00AD6438" w:rsidRPr="00C93B5F">
        <w:rPr>
          <w:rFonts w:ascii="仿宋_GB2312" w:eastAsia="仿宋_GB2312" w:hint="eastAsia"/>
          <w:sz w:val="32"/>
          <w:szCs w:val="32"/>
        </w:rPr>
        <w:t>经原告申请，法院</w:t>
      </w:r>
      <w:r w:rsidR="00101E7E" w:rsidRPr="00C93B5F">
        <w:rPr>
          <w:rFonts w:ascii="仿宋_GB2312" w:eastAsia="仿宋_GB2312" w:hint="eastAsia"/>
          <w:sz w:val="32"/>
          <w:szCs w:val="32"/>
        </w:rPr>
        <w:t>依法</w:t>
      </w:r>
      <w:r w:rsidR="00AD6438" w:rsidRPr="00C93B5F">
        <w:rPr>
          <w:rFonts w:ascii="仿宋_GB2312" w:eastAsia="仿宋_GB2312" w:hint="eastAsia"/>
          <w:sz w:val="32"/>
          <w:szCs w:val="32"/>
        </w:rPr>
        <w:t>对被告</w:t>
      </w:r>
      <w:r w:rsidR="00101E7E">
        <w:rPr>
          <w:rFonts w:ascii="仿宋_GB2312" w:eastAsia="仿宋_GB2312" w:hint="eastAsia"/>
          <w:sz w:val="32"/>
          <w:szCs w:val="32"/>
        </w:rPr>
        <w:t>办公场所</w:t>
      </w:r>
      <w:r w:rsidR="00101E7E">
        <w:rPr>
          <w:rFonts w:ascii="仿宋_GB2312" w:eastAsia="仿宋_GB2312"/>
          <w:sz w:val="32"/>
          <w:szCs w:val="32"/>
        </w:rPr>
        <w:t>的</w:t>
      </w:r>
      <w:r w:rsidR="00AD6438" w:rsidRPr="00C93B5F">
        <w:rPr>
          <w:rFonts w:ascii="仿宋_GB2312" w:eastAsia="仿宋_GB2312" w:hint="eastAsia"/>
          <w:sz w:val="32"/>
          <w:szCs w:val="32"/>
        </w:rPr>
        <w:t>电脑主机</w:t>
      </w:r>
      <w:r w:rsidR="009B4A14" w:rsidRPr="00C93B5F">
        <w:rPr>
          <w:rFonts w:ascii="仿宋_GB2312" w:eastAsia="仿宋_GB2312" w:hint="eastAsia"/>
          <w:sz w:val="32"/>
          <w:szCs w:val="32"/>
        </w:rPr>
        <w:t>进行诉前证据保全</w:t>
      </w:r>
      <w:r w:rsidR="00101E7E">
        <w:rPr>
          <w:rFonts w:ascii="仿宋_GB2312" w:eastAsia="仿宋_GB2312"/>
          <w:sz w:val="32"/>
          <w:szCs w:val="32"/>
        </w:rPr>
        <w:t>，</w:t>
      </w:r>
      <w:r w:rsidR="009B4A14" w:rsidRPr="00C93B5F">
        <w:rPr>
          <w:rFonts w:ascii="仿宋_GB2312" w:eastAsia="仿宋_GB2312" w:hint="eastAsia"/>
          <w:sz w:val="32"/>
          <w:szCs w:val="32"/>
        </w:rPr>
        <w:t>被告</w:t>
      </w:r>
      <w:r w:rsidR="00524CF3">
        <w:rPr>
          <w:rFonts w:ascii="仿宋_GB2312" w:eastAsia="仿宋_GB2312" w:hint="eastAsia"/>
          <w:sz w:val="32"/>
          <w:szCs w:val="32"/>
        </w:rPr>
        <w:t>非法</w:t>
      </w:r>
      <w:r w:rsidR="009B4A14" w:rsidRPr="00C93B5F">
        <w:rPr>
          <w:rFonts w:ascii="仿宋_GB2312" w:eastAsia="仿宋_GB2312" w:hint="eastAsia"/>
          <w:sz w:val="32"/>
          <w:szCs w:val="32"/>
        </w:rPr>
        <w:t>阻挠</w:t>
      </w:r>
      <w:r w:rsidR="00524CF3">
        <w:rPr>
          <w:rFonts w:ascii="仿宋_GB2312" w:eastAsia="仿宋_GB2312" w:hint="eastAsia"/>
          <w:sz w:val="32"/>
          <w:szCs w:val="32"/>
        </w:rPr>
        <w:t>并</w:t>
      </w:r>
      <w:r w:rsidR="009B4A14" w:rsidRPr="00C93B5F">
        <w:rPr>
          <w:rFonts w:ascii="仿宋_GB2312" w:eastAsia="仿宋_GB2312" w:hint="eastAsia"/>
          <w:sz w:val="32"/>
          <w:szCs w:val="32"/>
        </w:rPr>
        <w:t>擅自将33</w:t>
      </w:r>
      <w:r w:rsidR="00A24F42">
        <w:rPr>
          <w:rFonts w:ascii="仿宋_GB2312" w:eastAsia="仿宋_GB2312" w:hint="eastAsia"/>
          <w:sz w:val="32"/>
          <w:szCs w:val="32"/>
        </w:rPr>
        <w:t>台电脑</w:t>
      </w:r>
      <w:r w:rsidR="009B4A14" w:rsidRPr="00C93B5F">
        <w:rPr>
          <w:rFonts w:ascii="仿宋_GB2312" w:eastAsia="仿宋_GB2312" w:hint="eastAsia"/>
          <w:sz w:val="32"/>
          <w:szCs w:val="32"/>
        </w:rPr>
        <w:t>主机拆除，致使法院无法</w:t>
      </w:r>
      <w:r w:rsidR="00524CF3">
        <w:rPr>
          <w:rFonts w:ascii="仿宋_GB2312" w:eastAsia="仿宋_GB2312" w:hint="eastAsia"/>
          <w:sz w:val="32"/>
          <w:szCs w:val="32"/>
        </w:rPr>
        <w:t>进行</w:t>
      </w:r>
      <w:r w:rsidR="009B4A14" w:rsidRPr="00C93B5F">
        <w:rPr>
          <w:rFonts w:ascii="仿宋_GB2312" w:eastAsia="仿宋_GB2312" w:hint="eastAsia"/>
          <w:sz w:val="32"/>
          <w:szCs w:val="32"/>
        </w:rPr>
        <w:t>证据</w:t>
      </w:r>
      <w:r w:rsidR="00524CF3" w:rsidRPr="00C93B5F">
        <w:rPr>
          <w:rFonts w:ascii="仿宋_GB2312" w:eastAsia="仿宋_GB2312" w:hint="eastAsia"/>
          <w:sz w:val="32"/>
          <w:szCs w:val="32"/>
        </w:rPr>
        <w:t>保全</w:t>
      </w:r>
      <w:r w:rsidR="00524CF3">
        <w:rPr>
          <w:rFonts w:ascii="仿宋_GB2312" w:eastAsia="仿宋_GB2312" w:hint="eastAsia"/>
          <w:sz w:val="32"/>
          <w:szCs w:val="32"/>
        </w:rPr>
        <w:t>，</w:t>
      </w:r>
      <w:r w:rsidR="006203BC">
        <w:rPr>
          <w:rFonts w:ascii="仿宋_GB2312" w:eastAsia="仿宋_GB2312" w:hint="eastAsia"/>
          <w:sz w:val="32"/>
          <w:szCs w:val="32"/>
        </w:rPr>
        <w:t>法院</w:t>
      </w:r>
      <w:r w:rsidR="00524CF3">
        <w:rPr>
          <w:rFonts w:ascii="仿宋_GB2312" w:eastAsia="仿宋_GB2312"/>
          <w:sz w:val="32"/>
          <w:szCs w:val="32"/>
        </w:rPr>
        <w:t>依法认定</w:t>
      </w:r>
      <w:r w:rsidR="00524CF3">
        <w:rPr>
          <w:rFonts w:ascii="仿宋_GB2312" w:eastAsia="仿宋_GB2312" w:hint="eastAsia"/>
          <w:sz w:val="32"/>
          <w:szCs w:val="32"/>
        </w:rPr>
        <w:t>该</w:t>
      </w:r>
      <w:r w:rsidR="009B4A14" w:rsidRPr="00C93B5F">
        <w:rPr>
          <w:rFonts w:ascii="仿宋_GB2312" w:eastAsia="仿宋_GB2312" w:hint="eastAsia"/>
          <w:sz w:val="32"/>
          <w:szCs w:val="32"/>
        </w:rPr>
        <w:t>33</w:t>
      </w:r>
      <w:r w:rsidR="00524CF3">
        <w:rPr>
          <w:rFonts w:ascii="仿宋_GB2312" w:eastAsia="仿宋_GB2312" w:hint="eastAsia"/>
          <w:sz w:val="32"/>
          <w:szCs w:val="32"/>
        </w:rPr>
        <w:t>台电脑</w:t>
      </w:r>
      <w:r w:rsidR="00A24F42">
        <w:rPr>
          <w:rFonts w:ascii="仿宋_GB2312" w:eastAsia="仿宋_GB2312" w:hint="eastAsia"/>
          <w:sz w:val="32"/>
          <w:szCs w:val="32"/>
        </w:rPr>
        <w:t>主机</w:t>
      </w:r>
      <w:r w:rsidR="00EA0103" w:rsidRPr="00C93B5F">
        <w:rPr>
          <w:rFonts w:ascii="仿宋_GB2312" w:eastAsia="仿宋_GB2312" w:hint="eastAsia"/>
          <w:sz w:val="32"/>
          <w:szCs w:val="32"/>
        </w:rPr>
        <w:t>均安装了涉案侵权软件</w:t>
      </w:r>
      <w:r w:rsidR="009B4A14" w:rsidRPr="00C93B5F">
        <w:rPr>
          <w:rFonts w:ascii="仿宋_GB2312" w:eastAsia="仿宋_GB2312" w:hint="eastAsia"/>
          <w:sz w:val="32"/>
          <w:szCs w:val="32"/>
        </w:rPr>
        <w:t>，最终判决被告赔偿186万元。</w:t>
      </w:r>
    </w:p>
    <w:p w:rsidR="007A1588" w:rsidRDefault="00F4460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 w:rsidR="00872001" w:rsidRPr="00872001">
        <w:rPr>
          <w:rFonts w:ascii="黑体" w:eastAsia="黑体" w:hAnsi="黑体" w:hint="eastAsia"/>
          <w:sz w:val="32"/>
          <w:szCs w:val="32"/>
        </w:rPr>
        <w:t>加强审判机制创新，打造特色审判模式</w:t>
      </w:r>
    </w:p>
    <w:p w:rsidR="0044235F" w:rsidRDefault="0044235F" w:rsidP="0044235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235F">
        <w:rPr>
          <w:rFonts w:ascii="仿宋_GB2312" w:eastAsia="仿宋_GB2312" w:hint="eastAsia"/>
          <w:sz w:val="32"/>
          <w:szCs w:val="32"/>
        </w:rPr>
        <w:t>认真落实《关于加强知识产权审判领域改革创新若干问题</w:t>
      </w:r>
      <w:r w:rsidR="008975D4">
        <w:rPr>
          <w:rFonts w:ascii="仿宋_GB2312" w:eastAsia="仿宋_GB2312" w:hint="eastAsia"/>
          <w:sz w:val="32"/>
          <w:szCs w:val="32"/>
        </w:rPr>
        <w:t>的意见》，不断创新工作方式，完善审判体系机制，着力打造济南特色</w:t>
      </w:r>
      <w:r w:rsidRPr="0044235F">
        <w:rPr>
          <w:rFonts w:ascii="仿宋_GB2312" w:eastAsia="仿宋_GB2312" w:hint="eastAsia"/>
          <w:sz w:val="32"/>
          <w:szCs w:val="32"/>
        </w:rPr>
        <w:t>知识产权审判新模式。</w:t>
      </w:r>
    </w:p>
    <w:p w:rsidR="00365876" w:rsidRPr="00D70AC0" w:rsidRDefault="00962B91" w:rsidP="00D70AC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（一）大力加强</w:t>
      </w:r>
      <w:r w:rsidR="00365876" w:rsidRPr="002D2424">
        <w:rPr>
          <w:rFonts w:ascii="楷体_GB2312" w:eastAsia="楷体_GB2312" w:hint="eastAsia"/>
          <w:color w:val="000000" w:themeColor="text1"/>
          <w:sz w:val="32"/>
          <w:szCs w:val="32"/>
        </w:rPr>
        <w:t>诉源治理</w:t>
      </w:r>
      <w:r w:rsidR="00365876">
        <w:rPr>
          <w:rFonts w:ascii="楷体_GB2312" w:eastAsia="楷体_GB2312" w:hint="eastAsia"/>
          <w:color w:val="000000" w:themeColor="text1"/>
          <w:sz w:val="32"/>
          <w:szCs w:val="32"/>
        </w:rPr>
        <w:t>，多元解纷取得新突破。</w:t>
      </w:r>
      <w:r w:rsidR="00813E8E">
        <w:rPr>
          <w:rFonts w:ascii="仿宋_GB2312" w:eastAsia="仿宋_GB2312" w:hint="eastAsia"/>
          <w:color w:val="000000" w:themeColor="text1"/>
          <w:sz w:val="32"/>
          <w:szCs w:val="32"/>
        </w:rPr>
        <w:t>坚持把非诉讼纠纷解决机制挺在前面</w:t>
      </w:r>
      <w:r w:rsidR="00365876" w:rsidRPr="00C837F9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813E8E">
        <w:rPr>
          <w:rFonts w:ascii="仿宋_GB2312" w:eastAsia="仿宋_GB2312" w:hint="eastAsia"/>
          <w:color w:val="000000" w:themeColor="text1"/>
          <w:sz w:val="32"/>
          <w:szCs w:val="32"/>
        </w:rPr>
        <w:t>充分发挥人民法院在线调解平台作用</w:t>
      </w:r>
      <w:r w:rsidR="00365876">
        <w:rPr>
          <w:rFonts w:ascii="仿宋_GB2312" w:eastAsia="仿宋_GB2312" w:hint="eastAsia"/>
          <w:color w:val="000000" w:themeColor="text1"/>
          <w:sz w:val="32"/>
          <w:szCs w:val="32"/>
        </w:rPr>
        <w:t>，</w:t>
      </w:r>
      <w:r w:rsidR="00365876" w:rsidRPr="007C0FC9">
        <w:rPr>
          <w:rFonts w:ascii="仿宋_GB2312" w:eastAsia="仿宋_GB2312" w:hint="eastAsia"/>
          <w:color w:val="0D0D0D" w:themeColor="text1" w:themeTint="F2"/>
          <w:sz w:val="32"/>
          <w:szCs w:val="32"/>
        </w:rPr>
        <w:t>全年诉前化解纠纷1499件</w:t>
      </w:r>
      <w:r w:rsidR="006B1249">
        <w:rPr>
          <w:rFonts w:ascii="仿宋_GB2312" w:eastAsia="仿宋_GB2312" w:hint="eastAsia"/>
          <w:color w:val="0D0D0D" w:themeColor="text1" w:themeTint="F2"/>
          <w:sz w:val="32"/>
          <w:szCs w:val="32"/>
        </w:rPr>
        <w:t>，有效减少诉讼案件</w:t>
      </w:r>
      <w:r w:rsidR="00365876" w:rsidRPr="002D2424">
        <w:rPr>
          <w:rFonts w:ascii="仿宋_GB2312" w:eastAsia="仿宋_GB2312" w:hint="eastAsia"/>
          <w:color w:val="000000" w:themeColor="text1"/>
          <w:sz w:val="32"/>
          <w:szCs w:val="32"/>
        </w:rPr>
        <w:t>。实行诉前调解告知书制度，</w:t>
      </w:r>
      <w:r w:rsidR="00365876" w:rsidRPr="007C0FC9">
        <w:rPr>
          <w:rFonts w:ascii="仿宋_GB2312" w:eastAsia="仿宋_GB2312" w:hint="eastAsia"/>
          <w:color w:val="0D0D0D" w:themeColor="text1" w:themeTint="F2"/>
          <w:sz w:val="32"/>
          <w:szCs w:val="32"/>
        </w:rPr>
        <w:t>明确诉前调解阶段送达的起</w:t>
      </w:r>
      <w:r w:rsidR="00365876" w:rsidRPr="002D2424">
        <w:rPr>
          <w:rFonts w:ascii="仿宋_GB2312" w:eastAsia="仿宋_GB2312" w:hint="eastAsia"/>
          <w:color w:val="000000" w:themeColor="text1"/>
          <w:sz w:val="32"/>
          <w:szCs w:val="32"/>
        </w:rPr>
        <w:t>诉状副本及证据材料、当事人确认的送达地址，均适用于正式立案后的诉讼阶段，进一步优</w:t>
      </w:r>
      <w:r w:rsidR="00813E8E">
        <w:rPr>
          <w:rFonts w:ascii="仿宋_GB2312" w:eastAsia="仿宋_GB2312" w:hint="eastAsia"/>
          <w:sz w:val="32"/>
          <w:szCs w:val="32"/>
        </w:rPr>
        <w:t>化诉讼程序。推进繁简分流</w:t>
      </w:r>
      <w:r w:rsidR="00365876" w:rsidRPr="00BF2447">
        <w:rPr>
          <w:rFonts w:ascii="仿宋_GB2312" w:eastAsia="仿宋_GB2312" w:hint="eastAsia"/>
          <w:sz w:val="32"/>
          <w:szCs w:val="32"/>
        </w:rPr>
        <w:t>，</w:t>
      </w:r>
      <w:r w:rsidR="00D70AC0" w:rsidRPr="007C0FC9">
        <w:rPr>
          <w:rFonts w:ascii="仿宋_GB2312" w:eastAsia="仿宋_GB2312" w:hint="eastAsia"/>
          <w:color w:val="0D0D0D" w:themeColor="text1" w:themeTint="F2"/>
          <w:sz w:val="32"/>
          <w:szCs w:val="32"/>
        </w:rPr>
        <w:t>实现</w:t>
      </w:r>
      <w:r w:rsidR="00D70AC0" w:rsidRPr="007C0FC9">
        <w:rPr>
          <w:rFonts w:ascii="仿宋_GB2312" w:eastAsia="仿宋_GB2312"/>
          <w:color w:val="0D0D0D" w:themeColor="text1" w:themeTint="F2"/>
          <w:sz w:val="32"/>
          <w:szCs w:val="32"/>
        </w:rPr>
        <w:t>简案快审</w:t>
      </w:r>
      <w:r w:rsidR="00D70AC0">
        <w:rPr>
          <w:rFonts w:ascii="仿宋_GB2312" w:eastAsia="仿宋_GB2312" w:hint="eastAsia"/>
          <w:sz w:val="32"/>
          <w:szCs w:val="32"/>
        </w:rPr>
        <w:t>，</w:t>
      </w:r>
      <w:r w:rsidR="00D70AC0" w:rsidRPr="00DE2D1A">
        <w:rPr>
          <w:rFonts w:ascii="仿宋_GB2312" w:eastAsia="仿宋_GB2312" w:hint="eastAsia"/>
          <w:sz w:val="32"/>
          <w:szCs w:val="32"/>
        </w:rPr>
        <w:t>中院适用</w:t>
      </w:r>
      <w:r w:rsidR="00D70AC0" w:rsidRPr="00DE2D1A">
        <w:rPr>
          <w:rFonts w:ascii="仿宋_GB2312" w:eastAsia="仿宋_GB2312"/>
          <w:sz w:val="32"/>
          <w:szCs w:val="32"/>
        </w:rPr>
        <w:t>速裁方式</w:t>
      </w:r>
      <w:r w:rsidR="00D70AC0" w:rsidRPr="0077424D">
        <w:rPr>
          <w:rFonts w:ascii="仿宋_GB2312" w:eastAsia="仿宋_GB2312" w:hint="eastAsia"/>
          <w:sz w:val="32"/>
          <w:szCs w:val="32"/>
        </w:rPr>
        <w:t>结案1009件，占知识产权结案总量的51.85%</w:t>
      </w:r>
      <w:r w:rsidR="00365876" w:rsidRPr="007C0FC9">
        <w:rPr>
          <w:rFonts w:ascii="仿宋_GB2312" w:eastAsia="仿宋_GB2312" w:hint="eastAsia"/>
          <w:color w:val="0D0D0D" w:themeColor="text1" w:themeTint="F2"/>
          <w:sz w:val="32"/>
          <w:szCs w:val="32"/>
        </w:rPr>
        <w:t>，平均</w:t>
      </w:r>
      <w:r w:rsidR="00365876" w:rsidRPr="007C0FC9">
        <w:rPr>
          <w:rFonts w:ascii="仿宋_GB2312" w:eastAsia="仿宋_GB2312"/>
          <w:color w:val="0D0D0D" w:themeColor="text1" w:themeTint="F2"/>
          <w:sz w:val="32"/>
          <w:szCs w:val="32"/>
        </w:rPr>
        <w:t>办理天数</w:t>
      </w:r>
      <w:r w:rsidR="00365876" w:rsidRPr="007C0FC9">
        <w:rPr>
          <w:rFonts w:ascii="仿宋_GB2312" w:eastAsia="仿宋_GB2312" w:hint="eastAsia"/>
          <w:color w:val="0D0D0D" w:themeColor="text1" w:themeTint="F2"/>
          <w:sz w:val="32"/>
          <w:szCs w:val="32"/>
        </w:rPr>
        <w:t>58</w:t>
      </w:r>
      <w:r w:rsidR="00D70AC0">
        <w:rPr>
          <w:rFonts w:ascii="仿宋_GB2312" w:eastAsia="仿宋_GB2312" w:hint="eastAsia"/>
          <w:color w:val="0D0D0D" w:themeColor="text1" w:themeTint="F2"/>
          <w:sz w:val="32"/>
          <w:szCs w:val="32"/>
        </w:rPr>
        <w:t>天；</w:t>
      </w:r>
      <w:r w:rsidR="00365876" w:rsidRPr="00BF2447">
        <w:rPr>
          <w:rFonts w:ascii="仿宋_GB2312" w:eastAsia="仿宋_GB2312" w:hint="eastAsia"/>
          <w:sz w:val="32"/>
          <w:szCs w:val="32"/>
        </w:rPr>
        <w:t>基层法院积极适用</w:t>
      </w:r>
      <w:r w:rsidR="00813E8E">
        <w:rPr>
          <w:rFonts w:ascii="仿宋_GB2312" w:eastAsia="仿宋_GB2312" w:hint="eastAsia"/>
          <w:color w:val="000000" w:themeColor="text1"/>
          <w:sz w:val="32"/>
          <w:szCs w:val="32"/>
        </w:rPr>
        <w:t>小额诉讼程序</w:t>
      </w:r>
      <w:r w:rsidR="00365876" w:rsidRPr="003C1E9C">
        <w:rPr>
          <w:rFonts w:ascii="仿宋_GB2312" w:eastAsia="仿宋_GB2312" w:hint="eastAsia"/>
          <w:color w:val="000000" w:themeColor="text1"/>
          <w:sz w:val="32"/>
          <w:szCs w:val="32"/>
        </w:rPr>
        <w:t>及著作权、商标权纠纷要素式审判模式，历下区法院适用小额诉讼程序办结知识产权案件654件。</w:t>
      </w:r>
    </w:p>
    <w:p w:rsidR="00365876" w:rsidRPr="007C0FC9" w:rsidRDefault="00813E8E" w:rsidP="00365876">
      <w:pPr>
        <w:spacing w:line="560" w:lineRule="exact"/>
        <w:ind w:firstLineChars="200" w:firstLine="640"/>
        <w:rPr>
          <w:rFonts w:ascii="楷体_GB2312" w:eastAsia="楷体_GB2312"/>
          <w:color w:val="0D0D0D" w:themeColor="text1" w:themeTint="F2"/>
          <w:sz w:val="32"/>
          <w:szCs w:val="32"/>
        </w:rPr>
      </w:pPr>
      <w:r>
        <w:rPr>
          <w:rFonts w:ascii="楷体_GB2312" w:eastAsia="楷体_GB2312" w:hint="eastAsia"/>
          <w:color w:val="0D0D0D" w:themeColor="text1" w:themeTint="F2"/>
          <w:sz w:val="32"/>
          <w:szCs w:val="32"/>
        </w:rPr>
        <w:t>（二）构建</w:t>
      </w:r>
      <w:r w:rsidR="00365876" w:rsidRPr="007C0FC9">
        <w:rPr>
          <w:rFonts w:ascii="楷体_GB2312" w:eastAsia="楷体_GB2312" w:hint="eastAsia"/>
          <w:color w:val="0D0D0D" w:themeColor="text1" w:themeTint="F2"/>
          <w:sz w:val="32"/>
          <w:szCs w:val="32"/>
        </w:rPr>
        <w:t>大保护</w:t>
      </w:r>
      <w:r w:rsidR="00365876">
        <w:rPr>
          <w:rFonts w:ascii="楷体_GB2312" w:eastAsia="楷体_GB2312" w:hint="eastAsia"/>
          <w:sz w:val="32"/>
          <w:szCs w:val="32"/>
        </w:rPr>
        <w:t>格局，协同保护迈上新台阶。</w:t>
      </w:r>
      <w:r w:rsidR="00365876" w:rsidRPr="00FF5A88">
        <w:rPr>
          <w:rFonts w:ascii="仿宋_GB2312" w:eastAsia="仿宋_GB2312" w:hint="eastAsia"/>
          <w:color w:val="000000" w:themeColor="text1"/>
          <w:sz w:val="32"/>
          <w:szCs w:val="32"/>
        </w:rPr>
        <w:t>持续推进“三合一”审判机制改革，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办结</w:t>
      </w:r>
      <w:r w:rsidR="00365876" w:rsidRPr="00FF5A88">
        <w:rPr>
          <w:rFonts w:ascii="仿宋_GB2312" w:eastAsia="仿宋_GB2312" w:hint="eastAsia"/>
          <w:color w:val="000000" w:themeColor="text1"/>
          <w:sz w:val="32"/>
          <w:szCs w:val="32"/>
        </w:rPr>
        <w:t>知识产权刑事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案件</w:t>
      </w:r>
      <w:r w:rsidR="00365876" w:rsidRPr="00FF5A88">
        <w:rPr>
          <w:rFonts w:ascii="仿宋_GB2312" w:eastAsia="仿宋_GB2312" w:hint="eastAsia"/>
          <w:color w:val="000000" w:themeColor="text1"/>
          <w:sz w:val="32"/>
          <w:szCs w:val="32"/>
        </w:rPr>
        <w:t>11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件、</w:t>
      </w:r>
      <w:r w:rsidR="00365876" w:rsidRPr="00FF5A88">
        <w:rPr>
          <w:rFonts w:ascii="仿宋_GB2312" w:eastAsia="仿宋_GB2312" w:hint="eastAsia"/>
          <w:color w:val="000000" w:themeColor="text1"/>
          <w:sz w:val="32"/>
          <w:szCs w:val="32"/>
        </w:rPr>
        <w:t>行政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案件</w:t>
      </w:r>
      <w:r w:rsidR="00365876" w:rsidRPr="00FF5A88">
        <w:rPr>
          <w:rFonts w:ascii="仿宋_GB2312" w:eastAsia="仿宋_GB2312" w:hint="eastAsia"/>
          <w:color w:val="000000" w:themeColor="text1"/>
          <w:sz w:val="32"/>
          <w:szCs w:val="32"/>
        </w:rPr>
        <w:t>9</w:t>
      </w:r>
      <w:r w:rsidR="00365876" w:rsidRPr="00FF5A88">
        <w:rPr>
          <w:rFonts w:ascii="仿宋_GB2312" w:eastAsia="仿宋_GB2312" w:hint="eastAsia"/>
          <w:color w:val="000000" w:themeColor="text1"/>
          <w:sz w:val="32"/>
          <w:szCs w:val="32"/>
        </w:rPr>
        <w:lastRenderedPageBreak/>
        <w:t>件。</w:t>
      </w:r>
      <w:r w:rsidR="00365876">
        <w:rPr>
          <w:rFonts w:ascii="仿宋_GB2312" w:eastAsia="仿宋_GB2312" w:hint="eastAsia"/>
          <w:sz w:val="32"/>
          <w:szCs w:val="32"/>
        </w:rPr>
        <w:t>中院增</w:t>
      </w:r>
      <w:r w:rsidR="00365876" w:rsidRPr="002A7B60">
        <w:rPr>
          <w:rFonts w:ascii="仿宋_GB2312" w:eastAsia="仿宋_GB2312" w:hint="eastAsia"/>
          <w:sz w:val="32"/>
          <w:szCs w:val="32"/>
        </w:rPr>
        <w:t>设淄博</w:t>
      </w:r>
      <w:r w:rsidR="006B7E1E" w:rsidRPr="002A7B60">
        <w:rPr>
          <w:rFonts w:ascii="仿宋_GB2312" w:eastAsia="仿宋_GB2312" w:hint="eastAsia"/>
          <w:sz w:val="32"/>
          <w:szCs w:val="32"/>
        </w:rPr>
        <w:t>市</w:t>
      </w:r>
      <w:r w:rsidR="00365876" w:rsidRPr="002A7B60">
        <w:rPr>
          <w:rFonts w:ascii="仿宋_GB2312" w:eastAsia="仿宋_GB2312" w:hint="eastAsia"/>
          <w:sz w:val="32"/>
          <w:szCs w:val="32"/>
        </w:rPr>
        <w:t>、聊城</w:t>
      </w:r>
      <w:r w:rsidR="004E013A" w:rsidRPr="002A7B60">
        <w:rPr>
          <w:rFonts w:ascii="仿宋_GB2312" w:eastAsia="仿宋_GB2312" w:hint="eastAsia"/>
          <w:sz w:val="32"/>
          <w:szCs w:val="32"/>
        </w:rPr>
        <w:t>市</w:t>
      </w:r>
      <w:r w:rsidR="00365876" w:rsidRPr="002A7B60">
        <w:rPr>
          <w:rFonts w:ascii="仿宋_GB2312" w:eastAsia="仿宋_GB2312" w:hint="eastAsia"/>
          <w:sz w:val="32"/>
          <w:szCs w:val="32"/>
        </w:rPr>
        <w:t>及</w:t>
      </w:r>
      <w:r w:rsidR="006B7E1E" w:rsidRPr="002A7B60">
        <w:rPr>
          <w:rFonts w:ascii="仿宋_GB2312" w:eastAsia="仿宋_GB2312" w:hint="eastAsia"/>
          <w:sz w:val="32"/>
          <w:szCs w:val="32"/>
        </w:rPr>
        <w:t>济南市</w:t>
      </w:r>
      <w:r w:rsidR="00365876" w:rsidRPr="002A7B60">
        <w:rPr>
          <w:rFonts w:ascii="仿宋_GB2312" w:eastAsia="仿宋_GB2312" w:hint="eastAsia"/>
          <w:sz w:val="32"/>
          <w:szCs w:val="32"/>
        </w:rPr>
        <w:t>历城</w:t>
      </w:r>
      <w:r w:rsidR="006B7E1E" w:rsidRPr="002A7B60">
        <w:rPr>
          <w:rFonts w:ascii="仿宋_GB2312" w:eastAsia="仿宋_GB2312" w:hint="eastAsia"/>
          <w:sz w:val="32"/>
          <w:szCs w:val="32"/>
        </w:rPr>
        <w:t>区</w:t>
      </w:r>
      <w:r w:rsidR="00365876" w:rsidRPr="002A7B60">
        <w:rPr>
          <w:rFonts w:ascii="仿宋_GB2312" w:eastAsia="仿宋_GB2312" w:hint="eastAsia"/>
          <w:sz w:val="32"/>
          <w:szCs w:val="32"/>
        </w:rPr>
        <w:t>三处</w:t>
      </w:r>
      <w:r w:rsidR="00365876" w:rsidRPr="00BF2447">
        <w:rPr>
          <w:rFonts w:ascii="仿宋_GB2312" w:eastAsia="仿宋_GB2312" w:hint="eastAsia"/>
          <w:sz w:val="32"/>
          <w:szCs w:val="32"/>
        </w:rPr>
        <w:t>知识产权审判巡回法庭，巡回审理驻地辖区的技术类知识产权案件，</w:t>
      </w:r>
      <w:r w:rsidR="00365876" w:rsidRPr="007C0FC9">
        <w:rPr>
          <w:rFonts w:ascii="仿宋_GB2312" w:eastAsia="仿宋_GB2312" w:hint="eastAsia"/>
          <w:color w:val="0D0D0D" w:themeColor="text1" w:themeTint="F2"/>
          <w:sz w:val="32"/>
          <w:szCs w:val="32"/>
        </w:rPr>
        <w:t>进一步优化</w:t>
      </w:r>
      <w:r w:rsidR="00365876" w:rsidRPr="00BF2447">
        <w:rPr>
          <w:rFonts w:ascii="仿宋_GB2312" w:eastAsia="仿宋_GB2312" w:hint="eastAsia"/>
          <w:sz w:val="32"/>
          <w:szCs w:val="32"/>
        </w:rPr>
        <w:t>知识产权案件管辖布局。</w:t>
      </w:r>
      <w:r w:rsidR="00365876" w:rsidRPr="007C0FC9">
        <w:rPr>
          <w:rFonts w:ascii="仿宋_GB2312" w:eastAsia="仿宋_GB2312" w:hint="eastAsia"/>
          <w:color w:val="0D0D0D" w:themeColor="text1" w:themeTint="F2"/>
          <w:sz w:val="32"/>
          <w:szCs w:val="32"/>
        </w:rPr>
        <w:t>深化合作与交流，先后与济南市市场监督管理局、山东省国家</w:t>
      </w: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知识产权保护中心签订《加强知识产权快速协同保护</w:t>
      </w:r>
      <w:r w:rsidR="00365876" w:rsidRPr="007C0FC9">
        <w:rPr>
          <w:rFonts w:ascii="仿宋_GB2312" w:eastAsia="仿宋_GB2312" w:hint="eastAsia"/>
          <w:color w:val="0D0D0D" w:themeColor="text1" w:themeTint="F2"/>
          <w:sz w:val="32"/>
          <w:szCs w:val="32"/>
        </w:rPr>
        <w:t>框架协议》，建立业务研讨、</w:t>
      </w:r>
      <w:r>
        <w:rPr>
          <w:rFonts w:ascii="仿宋_GB2312" w:eastAsia="仿宋_GB2312"/>
          <w:color w:val="0D0D0D" w:themeColor="text1" w:themeTint="F2"/>
          <w:sz w:val="32"/>
          <w:szCs w:val="32"/>
        </w:rPr>
        <w:t>特邀调解</w:t>
      </w: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、</w:t>
      </w:r>
      <w:r w:rsidR="00365876">
        <w:rPr>
          <w:rFonts w:ascii="仿宋_GB2312" w:eastAsia="仿宋_GB2312" w:hint="eastAsia"/>
          <w:color w:val="0D0D0D" w:themeColor="text1" w:themeTint="F2"/>
          <w:sz w:val="32"/>
          <w:szCs w:val="32"/>
        </w:rPr>
        <w:t>协同</w:t>
      </w:r>
      <w:r w:rsidR="00365876">
        <w:rPr>
          <w:rFonts w:ascii="仿宋_GB2312" w:eastAsia="仿宋_GB2312"/>
          <w:color w:val="0D0D0D" w:themeColor="text1" w:themeTint="F2"/>
          <w:sz w:val="32"/>
          <w:szCs w:val="32"/>
        </w:rPr>
        <w:t>宣传</w:t>
      </w:r>
      <w:r w:rsidR="00365876" w:rsidRPr="007C0FC9">
        <w:rPr>
          <w:rFonts w:ascii="仿宋_GB2312" w:eastAsia="仿宋_GB2312" w:hint="eastAsia"/>
          <w:color w:val="0D0D0D" w:themeColor="text1" w:themeTint="F2"/>
          <w:sz w:val="32"/>
          <w:szCs w:val="32"/>
        </w:rPr>
        <w:t>等工作机制，进一步提升知识产权司法保护效能，构建</w:t>
      </w:r>
      <w:r w:rsidR="00365876" w:rsidRPr="007C0FC9">
        <w:rPr>
          <w:rFonts w:ascii="仿宋_GB2312" w:eastAsia="仿宋_GB2312"/>
          <w:color w:val="0D0D0D" w:themeColor="text1" w:themeTint="F2"/>
          <w:sz w:val="32"/>
          <w:szCs w:val="32"/>
        </w:rPr>
        <w:t>知识产权</w:t>
      </w:r>
      <w:r w:rsidR="00365876" w:rsidRPr="007C0FC9">
        <w:rPr>
          <w:rFonts w:ascii="仿宋_GB2312" w:eastAsia="仿宋_GB2312" w:hint="eastAsia"/>
          <w:color w:val="0D0D0D" w:themeColor="text1" w:themeTint="F2"/>
          <w:sz w:val="32"/>
          <w:szCs w:val="32"/>
        </w:rPr>
        <w:t>跨部门</w:t>
      </w:r>
      <w:r>
        <w:rPr>
          <w:rFonts w:ascii="仿宋_GB2312" w:eastAsia="仿宋_GB2312" w:hint="eastAsia"/>
          <w:color w:val="0D0D0D" w:themeColor="text1" w:themeTint="F2"/>
          <w:sz w:val="32"/>
          <w:szCs w:val="32"/>
        </w:rPr>
        <w:t>协同</w:t>
      </w:r>
      <w:r w:rsidR="00365876" w:rsidRPr="007C0FC9">
        <w:rPr>
          <w:rFonts w:ascii="仿宋_GB2312" w:eastAsia="仿宋_GB2312" w:hint="eastAsia"/>
          <w:color w:val="0D0D0D" w:themeColor="text1" w:themeTint="F2"/>
          <w:sz w:val="32"/>
          <w:szCs w:val="32"/>
        </w:rPr>
        <w:t>立体保护网。</w:t>
      </w:r>
    </w:p>
    <w:p w:rsidR="00535727" w:rsidRPr="00365876" w:rsidRDefault="00365876" w:rsidP="0036587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</w:t>
      </w:r>
      <w:r w:rsidRPr="00BF2447">
        <w:rPr>
          <w:rFonts w:ascii="楷体_GB2312" w:eastAsia="楷体_GB2312" w:hint="eastAsia"/>
          <w:sz w:val="32"/>
          <w:szCs w:val="32"/>
        </w:rPr>
        <w:t>强化智慧审判建设，便民利民实现新跨越</w:t>
      </w:r>
      <w:r>
        <w:rPr>
          <w:rFonts w:ascii="楷体_GB2312" w:eastAsia="楷体_GB2312" w:hint="eastAsia"/>
          <w:sz w:val="32"/>
          <w:szCs w:val="32"/>
        </w:rPr>
        <w:t>。</w:t>
      </w:r>
      <w:r w:rsidRPr="00BF2447">
        <w:rPr>
          <w:rFonts w:ascii="仿宋_GB2312" w:eastAsia="仿宋_GB2312" w:hint="eastAsia"/>
          <w:sz w:val="32"/>
          <w:szCs w:val="32"/>
        </w:rPr>
        <w:t>依托智慧法院平台，积极推行全流程网上办案，</w:t>
      </w:r>
      <w:r w:rsidRPr="00BF2447">
        <w:rPr>
          <w:rFonts w:ascii="仿宋_GB2312" w:eastAsia="仿宋_GB2312"/>
          <w:sz w:val="32"/>
          <w:szCs w:val="32"/>
        </w:rPr>
        <w:t>加强知识产权在线诉讼工</w:t>
      </w:r>
      <w:r w:rsidRPr="003C4FFC">
        <w:rPr>
          <w:rFonts w:ascii="仿宋_GB2312" w:eastAsia="仿宋_GB2312"/>
          <w:sz w:val="32"/>
          <w:szCs w:val="32"/>
        </w:rPr>
        <w:t>作，</w:t>
      </w:r>
      <w:r w:rsidRPr="003C4FFC">
        <w:rPr>
          <w:rFonts w:ascii="仿宋_GB2312" w:eastAsia="仿宋_GB2312" w:hint="eastAsia"/>
          <w:sz w:val="32"/>
          <w:szCs w:val="32"/>
        </w:rPr>
        <w:t>全市法院互联网开庭</w:t>
      </w:r>
      <w:r w:rsidR="003C4FFC" w:rsidRPr="003C4FFC">
        <w:rPr>
          <w:rFonts w:ascii="仿宋_GB2312" w:eastAsia="仿宋_GB2312" w:hint="eastAsia"/>
          <w:sz w:val="32"/>
          <w:szCs w:val="32"/>
        </w:rPr>
        <w:t>、调解达</w:t>
      </w:r>
      <w:r w:rsidR="003C4FFC" w:rsidRPr="00372888">
        <w:rPr>
          <w:rFonts w:ascii="仿宋_GB2312" w:eastAsia="仿宋_GB2312" w:hint="eastAsia"/>
          <w:sz w:val="32"/>
          <w:szCs w:val="32"/>
        </w:rPr>
        <w:t>1842</w:t>
      </w:r>
      <w:r w:rsidRPr="00372888">
        <w:rPr>
          <w:rFonts w:ascii="仿宋_GB2312" w:eastAsia="仿宋_GB2312" w:hint="eastAsia"/>
          <w:sz w:val="32"/>
          <w:szCs w:val="32"/>
        </w:rPr>
        <w:t>件</w:t>
      </w:r>
      <w:r w:rsidRPr="003C4FFC">
        <w:rPr>
          <w:rFonts w:ascii="仿宋_GB2312" w:eastAsia="仿宋_GB2312" w:hint="eastAsia"/>
          <w:sz w:val="32"/>
          <w:szCs w:val="32"/>
        </w:rPr>
        <w:t>次</w:t>
      </w:r>
      <w:r w:rsidR="003C4FFC" w:rsidRPr="003C4FFC">
        <w:rPr>
          <w:rFonts w:ascii="仿宋_GB2312" w:eastAsia="仿宋_GB2312" w:hint="eastAsia"/>
          <w:sz w:val="32"/>
          <w:szCs w:val="32"/>
        </w:rPr>
        <w:t>，</w:t>
      </w:r>
      <w:r w:rsidRPr="00365876">
        <w:rPr>
          <w:rFonts w:ascii="仿宋_GB2312" w:eastAsia="仿宋_GB2312" w:hint="eastAsia"/>
          <w:sz w:val="32"/>
          <w:szCs w:val="32"/>
        </w:rPr>
        <w:t>电子</w:t>
      </w:r>
      <w:r w:rsidRPr="00BF2447">
        <w:rPr>
          <w:rFonts w:ascii="仿宋_GB2312" w:eastAsia="仿宋_GB2312" w:hint="eastAsia"/>
          <w:sz w:val="32"/>
          <w:szCs w:val="32"/>
        </w:rPr>
        <w:t>送达6346</w:t>
      </w:r>
      <w:r w:rsidR="00372888">
        <w:rPr>
          <w:rFonts w:ascii="仿宋_GB2312" w:eastAsia="仿宋_GB2312" w:hint="eastAsia"/>
          <w:sz w:val="32"/>
          <w:szCs w:val="32"/>
        </w:rPr>
        <w:t>件次，实现了线下纠纷线上解决。</w:t>
      </w:r>
      <w:r>
        <w:rPr>
          <w:rFonts w:ascii="仿宋_GB2312" w:eastAsia="仿宋_GB2312" w:hint="eastAsia"/>
          <w:sz w:val="32"/>
          <w:szCs w:val="32"/>
        </w:rPr>
        <w:t>中院</w:t>
      </w:r>
      <w:r w:rsidRPr="00FF5A88">
        <w:rPr>
          <w:rFonts w:ascii="仿宋_GB2312" w:eastAsia="仿宋_GB2312" w:hint="eastAsia"/>
          <w:sz w:val="32"/>
          <w:szCs w:val="32"/>
        </w:rPr>
        <w:t>积极探索实施“智能3D证据管理模式”，全年共建模“智能3D证据”461件，在全省首次适用“智能3D证据”在线开庭审理一起涉大型农用设备的专利权纠纷案件，</w:t>
      </w:r>
      <w:r>
        <w:rPr>
          <w:rFonts w:ascii="仿宋_GB2312" w:eastAsia="仿宋_GB2312" w:hint="eastAsia"/>
          <w:sz w:val="32"/>
          <w:szCs w:val="32"/>
        </w:rPr>
        <w:t>制定</w:t>
      </w:r>
      <w:r w:rsidRPr="00FF5A88">
        <w:rPr>
          <w:rFonts w:ascii="仿宋_GB2312" w:eastAsia="仿宋_GB2312" w:hint="eastAsia"/>
          <w:sz w:val="32"/>
          <w:szCs w:val="32"/>
        </w:rPr>
        <w:t>出台《知识产权审判“智能3D证据”管理规范（试行）》，全面推进信息技术与知识产权审判工作深度融合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努力打造济南</w:t>
      </w:r>
      <w:r>
        <w:rPr>
          <w:rFonts w:ascii="仿宋_GB2312" w:eastAsia="仿宋_GB2312" w:hint="eastAsia"/>
          <w:sz w:val="32"/>
          <w:szCs w:val="32"/>
        </w:rPr>
        <w:t>知识</w:t>
      </w:r>
      <w:r>
        <w:rPr>
          <w:rFonts w:ascii="仿宋_GB2312" w:eastAsia="仿宋_GB2312"/>
          <w:sz w:val="32"/>
          <w:szCs w:val="32"/>
        </w:rPr>
        <w:t>产权智慧审判新名片。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7A1588" w:rsidRDefault="00F4460F" w:rsidP="00FF5A8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三、围绕中心服务大局，</w:t>
      </w:r>
      <w:r w:rsidR="00535727" w:rsidRPr="00535727">
        <w:rPr>
          <w:rFonts w:ascii="黑体" w:eastAsia="黑体" w:hAnsi="黑体" w:hint="eastAsia"/>
          <w:sz w:val="32"/>
          <w:szCs w:val="32"/>
        </w:rPr>
        <w:t>助力保障创新发展</w:t>
      </w:r>
    </w:p>
    <w:p w:rsidR="00365876" w:rsidRDefault="00365876" w:rsidP="003658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6A65">
        <w:rPr>
          <w:rFonts w:ascii="仿宋_GB2312" w:eastAsia="仿宋_GB2312" w:hint="eastAsia"/>
          <w:sz w:val="32"/>
          <w:szCs w:val="32"/>
        </w:rPr>
        <w:t>锚定“走在前列，全面开创”“三个走在前”总遵循、总定位、总航标，</w:t>
      </w:r>
      <w:r w:rsidRPr="00611A26">
        <w:rPr>
          <w:rFonts w:ascii="仿宋_GB2312" w:eastAsia="仿宋_GB2312" w:hint="eastAsia"/>
          <w:sz w:val="32"/>
          <w:szCs w:val="32"/>
        </w:rPr>
        <w:t>充分发挥知识产权支撑引领创新驱动发展和经济转型升级作用，</w:t>
      </w:r>
      <w:r>
        <w:rPr>
          <w:rFonts w:ascii="仿宋_GB2312" w:eastAsia="仿宋_GB2312" w:hint="eastAsia"/>
          <w:sz w:val="32"/>
          <w:szCs w:val="32"/>
        </w:rPr>
        <w:t>促进加快</w:t>
      </w:r>
      <w:r w:rsidRPr="00611A26">
        <w:rPr>
          <w:rFonts w:ascii="仿宋_GB2312" w:eastAsia="仿宋_GB2312" w:hint="eastAsia"/>
          <w:sz w:val="32"/>
          <w:szCs w:val="32"/>
        </w:rPr>
        <w:t>知识产权强市建设。</w:t>
      </w:r>
    </w:p>
    <w:p w:rsidR="00365876" w:rsidRPr="00D47193" w:rsidRDefault="00365876" w:rsidP="00365876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</w:t>
      </w:r>
      <w:r w:rsidRPr="006D5E69">
        <w:rPr>
          <w:rFonts w:ascii="楷体_GB2312" w:eastAsia="楷体_GB2312" w:hint="eastAsia"/>
          <w:sz w:val="32"/>
          <w:szCs w:val="32"/>
        </w:rPr>
        <w:t>助力新旧动能转换重大工程实施</w:t>
      </w:r>
      <w:r>
        <w:rPr>
          <w:rFonts w:ascii="楷体_GB2312" w:eastAsia="楷体_GB2312" w:hint="eastAsia"/>
          <w:sz w:val="32"/>
          <w:szCs w:val="32"/>
        </w:rPr>
        <w:t>。</w:t>
      </w:r>
      <w:r w:rsidRPr="003468E9">
        <w:rPr>
          <w:rFonts w:ascii="仿宋_GB2312" w:eastAsia="仿宋_GB2312" w:hint="eastAsia"/>
          <w:sz w:val="32"/>
          <w:szCs w:val="32"/>
        </w:rPr>
        <w:t>制定出台</w:t>
      </w:r>
      <w:r>
        <w:rPr>
          <w:rFonts w:ascii="仿宋_GB2312" w:eastAsia="仿宋_GB2312" w:hint="eastAsia"/>
          <w:sz w:val="32"/>
          <w:szCs w:val="32"/>
        </w:rPr>
        <w:t>《</w:t>
      </w:r>
      <w:r w:rsidRPr="001A7B28">
        <w:rPr>
          <w:rFonts w:ascii="仿宋_GB2312" w:eastAsia="仿宋_GB2312" w:hint="eastAsia"/>
          <w:sz w:val="32"/>
          <w:szCs w:val="32"/>
        </w:rPr>
        <w:t>关于全面加强知识产权司法保护促进创新发展的意见</w:t>
      </w:r>
      <w:r>
        <w:rPr>
          <w:rFonts w:ascii="仿宋_GB2312" w:eastAsia="仿宋_GB2312" w:hint="eastAsia"/>
          <w:sz w:val="32"/>
          <w:szCs w:val="32"/>
        </w:rPr>
        <w:t>》，</w:t>
      </w:r>
      <w:r w:rsidRPr="001A7B28">
        <w:rPr>
          <w:rFonts w:ascii="仿宋_GB2312" w:eastAsia="仿宋_GB2312" w:hint="eastAsia"/>
          <w:sz w:val="32"/>
          <w:szCs w:val="32"/>
        </w:rPr>
        <w:t>充分发挥知识产权审判职能作用，为我市贯彻新发展理念、构建新发展格局、推</w:t>
      </w:r>
      <w:r w:rsidRPr="00BF2447">
        <w:rPr>
          <w:rFonts w:ascii="仿宋_GB2312" w:eastAsia="仿宋_GB2312" w:hint="eastAsia"/>
          <w:sz w:val="32"/>
          <w:szCs w:val="32"/>
        </w:rPr>
        <w:t>动高质量发展提供有力司法服务和保障。制定出台济南中院</w:t>
      </w:r>
      <w:r w:rsidRPr="00BF2447">
        <w:rPr>
          <w:rFonts w:ascii="仿宋_GB2312" w:eastAsia="仿宋_GB2312" w:hint="eastAsia"/>
          <w:sz w:val="32"/>
          <w:szCs w:val="32"/>
        </w:rPr>
        <w:lastRenderedPageBreak/>
        <w:t>《技术调查官管理实施细则（试行）》，</w:t>
      </w:r>
      <w:r>
        <w:rPr>
          <w:rFonts w:ascii="仿宋_GB2312" w:eastAsia="仿宋_GB2312" w:hint="eastAsia"/>
          <w:sz w:val="32"/>
          <w:szCs w:val="32"/>
        </w:rPr>
        <w:t>与省内科研院所等积极协调沟通，</w:t>
      </w:r>
      <w:r w:rsidRPr="00BF2447">
        <w:rPr>
          <w:rFonts w:ascii="仿宋_GB2312" w:eastAsia="仿宋_GB2312" w:hint="eastAsia"/>
          <w:sz w:val="32"/>
          <w:szCs w:val="32"/>
        </w:rPr>
        <w:t>聘任24名技术专家作为知识产权审判技术调查官,全力构建济南特色的</w:t>
      </w:r>
      <w:r>
        <w:rPr>
          <w:rFonts w:ascii="仿宋_GB2312" w:eastAsia="仿宋_GB2312" w:hint="eastAsia"/>
          <w:sz w:val="32"/>
          <w:szCs w:val="32"/>
        </w:rPr>
        <w:t>技术调查官运行机制，有效提升技术</w:t>
      </w:r>
      <w:r>
        <w:rPr>
          <w:rFonts w:ascii="仿宋_GB2312" w:eastAsia="仿宋_GB2312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>知识产权案件质效水平，</w:t>
      </w:r>
      <w:r>
        <w:rPr>
          <w:rFonts w:ascii="仿宋_GB2312" w:eastAsia="仿宋_GB2312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经济</w:t>
      </w:r>
      <w:r>
        <w:rPr>
          <w:rFonts w:ascii="仿宋_GB2312" w:eastAsia="仿宋_GB2312"/>
          <w:sz w:val="32"/>
          <w:szCs w:val="32"/>
        </w:rPr>
        <w:t>社会创新发展。</w:t>
      </w:r>
    </w:p>
    <w:p w:rsidR="00365876" w:rsidRDefault="00365876" w:rsidP="0036587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（二）助力优化法治化营商环境。</w:t>
      </w:r>
      <w:r>
        <w:rPr>
          <w:rFonts w:ascii="仿宋_GB2312" w:eastAsia="仿宋_GB2312" w:hint="eastAsia"/>
          <w:sz w:val="32"/>
          <w:szCs w:val="32"/>
        </w:rPr>
        <w:t>中院、章丘</w:t>
      </w:r>
      <w:r w:rsidR="004C4E54">
        <w:rPr>
          <w:rFonts w:ascii="仿宋_GB2312" w:eastAsia="仿宋_GB2312" w:hint="eastAsia"/>
          <w:sz w:val="32"/>
          <w:szCs w:val="32"/>
        </w:rPr>
        <w:t>区</w:t>
      </w:r>
      <w:r w:rsidRPr="00D966B2">
        <w:rPr>
          <w:rFonts w:ascii="仿宋_GB2312" w:eastAsia="仿宋_GB2312" w:hint="eastAsia"/>
          <w:sz w:val="32"/>
          <w:szCs w:val="32"/>
        </w:rPr>
        <w:t>法院分别到齐鲁制药</w:t>
      </w:r>
      <w:r w:rsidR="0042746B">
        <w:rPr>
          <w:rFonts w:ascii="仿宋_GB2312" w:eastAsia="仿宋_GB2312" w:hint="eastAsia"/>
          <w:sz w:val="32"/>
          <w:szCs w:val="32"/>
        </w:rPr>
        <w:t>有限公司、力诺集团股份</w:t>
      </w:r>
      <w:r w:rsidR="00D966B2" w:rsidRPr="00D966B2">
        <w:rPr>
          <w:rFonts w:ascii="仿宋_GB2312" w:eastAsia="仿宋_GB2312" w:hint="eastAsia"/>
          <w:sz w:val="32"/>
          <w:szCs w:val="32"/>
        </w:rPr>
        <w:t>公司</w:t>
      </w:r>
      <w:r w:rsidRPr="00D966B2">
        <w:rPr>
          <w:rFonts w:ascii="仿宋_GB2312" w:eastAsia="仿宋_GB2312" w:hint="eastAsia"/>
          <w:sz w:val="32"/>
          <w:szCs w:val="32"/>
        </w:rPr>
        <w:t>及圣泉集团股份公司、华凌电缆有限公司等驻济高新企业实地调研，深入了</w:t>
      </w:r>
      <w:r w:rsidRPr="00C81052">
        <w:rPr>
          <w:rFonts w:ascii="仿宋_GB2312" w:eastAsia="仿宋_GB2312" w:hint="eastAsia"/>
          <w:sz w:val="32"/>
          <w:szCs w:val="32"/>
        </w:rPr>
        <w:t>解企业知识产权维权过程中遇到的困难和问题，为企业提供精准的知识产权司法服务；在线举办“知识产权大讲堂”公益</w:t>
      </w:r>
      <w:r>
        <w:rPr>
          <w:rFonts w:ascii="仿宋_GB2312" w:eastAsia="仿宋_GB2312" w:hint="eastAsia"/>
          <w:sz w:val="32"/>
          <w:szCs w:val="32"/>
        </w:rPr>
        <w:t>活动，围绕知识产权司法保护概述、商标权司法保护</w:t>
      </w:r>
      <w:r w:rsidR="0042073B">
        <w:rPr>
          <w:rFonts w:ascii="仿宋_GB2312" w:eastAsia="仿宋_GB2312" w:hint="eastAsia"/>
          <w:sz w:val="32"/>
          <w:szCs w:val="32"/>
        </w:rPr>
        <w:t>等</w:t>
      </w:r>
      <w:r w:rsidR="0042073B">
        <w:rPr>
          <w:rFonts w:ascii="仿宋_GB2312" w:eastAsia="仿宋_GB2312"/>
          <w:sz w:val="32"/>
          <w:szCs w:val="32"/>
        </w:rPr>
        <w:t>内容</w:t>
      </w:r>
      <w:r w:rsidR="0082560B">
        <w:rPr>
          <w:rFonts w:ascii="仿宋_GB2312" w:eastAsia="仿宋_GB2312" w:hint="eastAsia"/>
          <w:sz w:val="32"/>
          <w:szCs w:val="32"/>
        </w:rPr>
        <w:t>进行免费专题培训，提升</w:t>
      </w:r>
      <w:r w:rsidR="0042073B">
        <w:rPr>
          <w:rFonts w:ascii="仿宋_GB2312" w:eastAsia="仿宋_GB2312" w:hint="eastAsia"/>
          <w:sz w:val="32"/>
          <w:szCs w:val="32"/>
        </w:rPr>
        <w:t>全社会知识产权保护</w:t>
      </w:r>
      <w:r>
        <w:rPr>
          <w:rFonts w:ascii="仿宋_GB2312" w:eastAsia="仿宋_GB2312" w:hint="eastAsia"/>
          <w:sz w:val="32"/>
          <w:szCs w:val="32"/>
        </w:rPr>
        <w:t>意识；</w:t>
      </w:r>
      <w:r w:rsidRPr="001A7B28">
        <w:rPr>
          <w:rFonts w:ascii="仿宋_GB2312" w:eastAsia="仿宋_GB2312" w:hint="eastAsia"/>
          <w:sz w:val="32"/>
          <w:szCs w:val="32"/>
        </w:rPr>
        <w:t>联合市公安局食药环侦支队座谈研究涉</w:t>
      </w:r>
      <w:r>
        <w:rPr>
          <w:rFonts w:ascii="仿宋_GB2312" w:eastAsia="仿宋_GB2312" w:hint="eastAsia"/>
          <w:sz w:val="32"/>
          <w:szCs w:val="32"/>
        </w:rPr>
        <w:t>企</w:t>
      </w:r>
      <w:r w:rsidRPr="001A7B28">
        <w:rPr>
          <w:rFonts w:ascii="仿宋_GB2312" w:eastAsia="仿宋_GB2312" w:hint="eastAsia"/>
          <w:sz w:val="32"/>
          <w:szCs w:val="32"/>
        </w:rPr>
        <w:t>商标维权问题，向相关企业和行政部门提出</w:t>
      </w:r>
      <w:r>
        <w:rPr>
          <w:rFonts w:ascii="仿宋_GB2312" w:eastAsia="仿宋_GB2312" w:hint="eastAsia"/>
          <w:sz w:val="32"/>
          <w:szCs w:val="32"/>
        </w:rPr>
        <w:t>知识</w:t>
      </w:r>
      <w:r>
        <w:rPr>
          <w:rFonts w:ascii="仿宋_GB2312" w:eastAsia="仿宋_GB2312"/>
          <w:sz w:val="32"/>
          <w:szCs w:val="32"/>
        </w:rPr>
        <w:t>产权</w:t>
      </w:r>
      <w:r>
        <w:rPr>
          <w:rFonts w:ascii="仿宋_GB2312" w:eastAsia="仿宋_GB2312" w:hint="eastAsia"/>
          <w:sz w:val="32"/>
          <w:szCs w:val="32"/>
        </w:rPr>
        <w:t>保护</w:t>
      </w:r>
      <w:r w:rsidRPr="001A7B28">
        <w:rPr>
          <w:rFonts w:ascii="仿宋_GB2312" w:eastAsia="仿宋_GB2312" w:hint="eastAsia"/>
          <w:sz w:val="32"/>
          <w:szCs w:val="32"/>
        </w:rPr>
        <w:t>司法建议</w:t>
      </w:r>
      <w:r>
        <w:rPr>
          <w:rFonts w:ascii="仿宋_GB2312" w:eastAsia="仿宋_GB2312" w:hint="eastAsia"/>
          <w:sz w:val="32"/>
          <w:szCs w:val="32"/>
        </w:rPr>
        <w:t>2</w:t>
      </w:r>
      <w:r w:rsidRPr="001A7B2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份，</w:t>
      </w:r>
      <w:r w:rsidRPr="001067CD">
        <w:rPr>
          <w:rFonts w:ascii="仿宋_GB2312" w:eastAsia="仿宋_GB2312" w:hint="eastAsia"/>
          <w:sz w:val="32"/>
          <w:szCs w:val="32"/>
        </w:rPr>
        <w:t>为各类市场主体提供优质司法服务，努力营造市场化、法治化营商环境。</w:t>
      </w:r>
    </w:p>
    <w:p w:rsidR="00AD19B7" w:rsidRPr="00DA381C" w:rsidRDefault="00365876" w:rsidP="00DA381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25EE5">
        <w:rPr>
          <w:rFonts w:ascii="楷体_GB2312" w:eastAsia="楷体_GB2312" w:hint="eastAsia"/>
          <w:sz w:val="32"/>
          <w:szCs w:val="32"/>
        </w:rPr>
        <w:t>（三）</w:t>
      </w:r>
      <w:r w:rsidR="00AD19B7" w:rsidRPr="00AD19B7">
        <w:rPr>
          <w:rFonts w:ascii="楷体_GB2312" w:eastAsia="楷体_GB2312" w:hint="eastAsia"/>
          <w:color w:val="000000" w:themeColor="text1"/>
          <w:sz w:val="32"/>
          <w:szCs w:val="32"/>
        </w:rPr>
        <w:t>助力乡村振兴战略实施</w:t>
      </w:r>
      <w:r w:rsidR="00AD19B7">
        <w:rPr>
          <w:rFonts w:ascii="楷体_GB2312" w:eastAsia="楷体_GB2312" w:hint="eastAsia"/>
          <w:color w:val="000000" w:themeColor="text1"/>
          <w:sz w:val="32"/>
          <w:szCs w:val="32"/>
        </w:rPr>
        <w:t>。</w:t>
      </w:r>
      <w:r w:rsidR="00AD19B7" w:rsidRPr="00AD19B7">
        <w:rPr>
          <w:rFonts w:ascii="仿宋_GB2312" w:eastAsia="仿宋_GB2312" w:hint="eastAsia"/>
          <w:sz w:val="32"/>
          <w:szCs w:val="32"/>
        </w:rPr>
        <w:t>紧紧围绕中央、省市委关于加强植物新品种保护工作的部署要求，</w:t>
      </w:r>
      <w:r w:rsidR="00DA381C">
        <w:rPr>
          <w:rFonts w:ascii="仿宋_GB2312" w:eastAsia="仿宋_GB2312" w:hint="eastAsia"/>
          <w:sz w:val="32"/>
          <w:szCs w:val="32"/>
        </w:rPr>
        <w:t>全面</w:t>
      </w:r>
      <w:r w:rsidR="00DA381C">
        <w:rPr>
          <w:rFonts w:ascii="仿宋_GB2312" w:eastAsia="仿宋_GB2312"/>
          <w:sz w:val="32"/>
          <w:szCs w:val="32"/>
        </w:rPr>
        <w:t>加强种业司法保护</w:t>
      </w:r>
      <w:r w:rsidR="00AD19B7">
        <w:rPr>
          <w:rFonts w:ascii="仿宋_GB2312" w:eastAsia="仿宋_GB2312"/>
          <w:sz w:val="32"/>
          <w:szCs w:val="32"/>
        </w:rPr>
        <w:t>，</w:t>
      </w:r>
      <w:r w:rsidR="00AD19B7" w:rsidRPr="00142294">
        <w:rPr>
          <w:rFonts w:ascii="仿宋_GB2312" w:eastAsia="仿宋_GB2312" w:hint="eastAsia"/>
          <w:sz w:val="32"/>
          <w:szCs w:val="32"/>
        </w:rPr>
        <w:t>积极</w:t>
      </w:r>
      <w:r w:rsidR="00DA381C" w:rsidRPr="00DA381C">
        <w:rPr>
          <w:rFonts w:ascii="仿宋_GB2312" w:eastAsia="仿宋_GB2312" w:hint="eastAsia"/>
          <w:sz w:val="32"/>
          <w:szCs w:val="32"/>
        </w:rPr>
        <w:t>推动</w:t>
      </w:r>
      <w:r w:rsidR="00DA381C">
        <w:rPr>
          <w:rFonts w:ascii="仿宋_GB2312" w:eastAsia="仿宋_GB2312" w:hint="eastAsia"/>
          <w:sz w:val="32"/>
          <w:szCs w:val="32"/>
        </w:rPr>
        <w:t>我市</w:t>
      </w:r>
      <w:r w:rsidR="00DA381C" w:rsidRPr="00DA381C">
        <w:rPr>
          <w:rFonts w:ascii="仿宋_GB2312" w:eastAsia="仿宋_GB2312" w:hint="eastAsia"/>
          <w:sz w:val="32"/>
          <w:szCs w:val="32"/>
        </w:rPr>
        <w:t>农业科技创新和乡村振兴发展</w:t>
      </w:r>
      <w:r w:rsidR="00AD19B7" w:rsidRPr="00033C8D">
        <w:rPr>
          <w:rFonts w:ascii="仿宋_GB2312" w:eastAsia="仿宋_GB2312" w:hint="eastAsia"/>
          <w:sz w:val="32"/>
          <w:szCs w:val="32"/>
        </w:rPr>
        <w:t>。</w:t>
      </w:r>
      <w:r w:rsidR="00AD19B7" w:rsidRPr="00AD19B7">
        <w:rPr>
          <w:rFonts w:ascii="仿宋_GB2312" w:eastAsia="仿宋_GB2312" w:hint="eastAsia"/>
          <w:sz w:val="32"/>
          <w:szCs w:val="32"/>
        </w:rPr>
        <w:t>依法妥善</w:t>
      </w:r>
      <w:r w:rsidR="00AD19B7">
        <w:rPr>
          <w:rFonts w:ascii="仿宋_GB2312" w:eastAsia="仿宋_GB2312" w:hint="eastAsia"/>
          <w:sz w:val="32"/>
          <w:szCs w:val="32"/>
        </w:rPr>
        <w:t>审理</w:t>
      </w:r>
      <w:r w:rsidR="00AD19B7" w:rsidRPr="00AD19B7">
        <w:rPr>
          <w:rFonts w:ascii="仿宋_GB2312" w:eastAsia="仿宋_GB2312" w:hint="eastAsia"/>
          <w:sz w:val="32"/>
          <w:szCs w:val="32"/>
        </w:rPr>
        <w:t>了“济玉3240”玉米、“济麦22”小麦、“</w:t>
      </w:r>
      <w:r w:rsidR="00AD19B7">
        <w:rPr>
          <w:rFonts w:ascii="仿宋_GB2312" w:eastAsia="仿宋_GB2312" w:hint="eastAsia"/>
          <w:sz w:val="32"/>
          <w:szCs w:val="32"/>
        </w:rPr>
        <w:t>苏翠1号</w:t>
      </w:r>
      <w:r w:rsidR="00AD19B7" w:rsidRPr="00AD19B7">
        <w:rPr>
          <w:rFonts w:ascii="仿宋_GB2312" w:eastAsia="仿宋_GB2312" w:hint="eastAsia"/>
          <w:sz w:val="32"/>
          <w:szCs w:val="32"/>
        </w:rPr>
        <w:t>”</w:t>
      </w:r>
      <w:r w:rsidR="00AD19B7">
        <w:rPr>
          <w:rFonts w:ascii="仿宋_GB2312" w:eastAsia="仿宋_GB2312" w:hint="eastAsia"/>
          <w:sz w:val="32"/>
          <w:szCs w:val="32"/>
        </w:rPr>
        <w:t>梨、</w:t>
      </w:r>
      <w:r w:rsidR="00AD19B7" w:rsidRPr="00AD19B7">
        <w:rPr>
          <w:rFonts w:ascii="仿宋_GB2312" w:eastAsia="仿宋_GB2312" w:hint="eastAsia"/>
          <w:sz w:val="32"/>
          <w:szCs w:val="32"/>
        </w:rPr>
        <w:t>“鲁丽”苹果</w:t>
      </w:r>
      <w:r w:rsidR="00DA381C">
        <w:rPr>
          <w:rFonts w:ascii="仿宋_GB2312" w:eastAsia="仿宋_GB2312" w:hint="eastAsia"/>
          <w:sz w:val="32"/>
          <w:szCs w:val="32"/>
        </w:rPr>
        <w:t>等植物新品种</w:t>
      </w:r>
      <w:r w:rsidR="00AD19B7" w:rsidRPr="00AD19B7">
        <w:rPr>
          <w:rFonts w:ascii="仿宋_GB2312" w:eastAsia="仿宋_GB2312" w:hint="eastAsia"/>
          <w:sz w:val="32"/>
          <w:szCs w:val="32"/>
        </w:rPr>
        <w:t>案件，</w:t>
      </w:r>
      <w:r w:rsidR="00AD19B7">
        <w:rPr>
          <w:rFonts w:ascii="仿宋_GB2312" w:eastAsia="仿宋_GB2312" w:hint="eastAsia"/>
          <w:sz w:val="32"/>
          <w:szCs w:val="32"/>
        </w:rPr>
        <w:t>共</w:t>
      </w:r>
      <w:r w:rsidR="00AD19B7">
        <w:rPr>
          <w:rFonts w:ascii="仿宋_GB2312" w:eastAsia="仿宋_GB2312"/>
          <w:sz w:val="32"/>
          <w:szCs w:val="32"/>
        </w:rPr>
        <w:t>审结</w:t>
      </w:r>
      <w:r w:rsidR="00DA381C">
        <w:rPr>
          <w:rFonts w:ascii="仿宋_GB2312" w:eastAsia="仿宋_GB2312" w:hint="eastAsia"/>
          <w:sz w:val="32"/>
          <w:szCs w:val="32"/>
        </w:rPr>
        <w:t>案件</w:t>
      </w:r>
      <w:r w:rsidR="00AD19B7" w:rsidRPr="00033C8D">
        <w:rPr>
          <w:rFonts w:ascii="仿宋_GB2312" w:eastAsia="仿宋_GB2312" w:hint="eastAsia"/>
          <w:sz w:val="32"/>
          <w:szCs w:val="32"/>
        </w:rPr>
        <w:t>5</w:t>
      </w:r>
      <w:r w:rsidR="00AD19B7" w:rsidRPr="00020EF0">
        <w:rPr>
          <w:rFonts w:ascii="仿宋_GB2312" w:eastAsia="仿宋_GB2312" w:hint="eastAsia"/>
          <w:sz w:val="32"/>
          <w:szCs w:val="32"/>
        </w:rPr>
        <w:t>4</w:t>
      </w:r>
      <w:r w:rsidR="00DA381C">
        <w:rPr>
          <w:rFonts w:ascii="仿宋_GB2312" w:eastAsia="仿宋_GB2312" w:hint="eastAsia"/>
          <w:sz w:val="32"/>
          <w:szCs w:val="32"/>
        </w:rPr>
        <w:t>件，</w:t>
      </w:r>
      <w:r w:rsidR="00AD19B7">
        <w:rPr>
          <w:rFonts w:ascii="仿宋_GB2312" w:eastAsia="仿宋_GB2312"/>
          <w:sz w:val="32"/>
          <w:szCs w:val="32"/>
        </w:rPr>
        <w:t>调撤</w:t>
      </w:r>
      <w:r w:rsidR="00AD19B7">
        <w:rPr>
          <w:rFonts w:ascii="仿宋_GB2312" w:eastAsia="仿宋_GB2312" w:hint="eastAsia"/>
          <w:sz w:val="32"/>
          <w:szCs w:val="32"/>
        </w:rPr>
        <w:t>结案</w:t>
      </w:r>
      <w:r w:rsidR="00AD19B7" w:rsidRPr="00020EF0">
        <w:rPr>
          <w:rFonts w:ascii="仿宋_GB2312" w:eastAsia="仿宋_GB2312" w:hint="eastAsia"/>
          <w:sz w:val="32"/>
          <w:szCs w:val="32"/>
        </w:rPr>
        <w:t>22件</w:t>
      </w:r>
      <w:r w:rsidR="00AD19B7" w:rsidRPr="00020EF0">
        <w:rPr>
          <w:rFonts w:ascii="仿宋_GB2312" w:eastAsia="仿宋_GB2312"/>
          <w:sz w:val="32"/>
          <w:szCs w:val="32"/>
        </w:rPr>
        <w:t>，调撤率达</w:t>
      </w:r>
      <w:r w:rsidR="00AD19B7" w:rsidRPr="00020EF0">
        <w:rPr>
          <w:rFonts w:ascii="仿宋_GB2312" w:eastAsia="仿宋_GB2312" w:hint="eastAsia"/>
          <w:sz w:val="32"/>
          <w:szCs w:val="32"/>
        </w:rPr>
        <w:t>40.74%</w:t>
      </w:r>
      <w:r w:rsidR="00DA381C">
        <w:rPr>
          <w:rFonts w:ascii="仿宋_GB2312" w:eastAsia="仿宋_GB2312" w:hint="eastAsia"/>
          <w:sz w:val="32"/>
          <w:szCs w:val="32"/>
        </w:rPr>
        <w:t>，</w:t>
      </w:r>
      <w:r w:rsidR="00DA381C">
        <w:rPr>
          <w:rFonts w:ascii="仿宋_GB2312" w:eastAsia="仿宋_GB2312"/>
          <w:sz w:val="32"/>
          <w:szCs w:val="32"/>
        </w:rPr>
        <w:t>充分保障了</w:t>
      </w:r>
      <w:r w:rsidR="00DA381C" w:rsidRPr="002A7B60">
        <w:rPr>
          <w:rFonts w:ascii="仿宋_GB2312" w:eastAsia="仿宋_GB2312"/>
          <w:sz w:val="32"/>
          <w:szCs w:val="32"/>
        </w:rPr>
        <w:t>品种权人的合法权益。</w:t>
      </w:r>
      <w:r w:rsidR="00DA381C" w:rsidRPr="002A7B60">
        <w:rPr>
          <w:rFonts w:ascii="仿宋_GB2312" w:eastAsia="仿宋_GB2312" w:hint="eastAsia"/>
          <w:sz w:val="32"/>
          <w:szCs w:val="32"/>
        </w:rPr>
        <w:t>其中</w:t>
      </w:r>
      <w:r w:rsidR="00DA381C" w:rsidRPr="002A7B60">
        <w:rPr>
          <w:rFonts w:ascii="仿宋_GB2312" w:eastAsia="仿宋_GB2312"/>
          <w:sz w:val="32"/>
          <w:szCs w:val="32"/>
        </w:rPr>
        <w:t>，</w:t>
      </w:r>
      <w:r w:rsidR="006B1DB5">
        <w:rPr>
          <w:rFonts w:ascii="仿宋_GB2312" w:eastAsia="仿宋_GB2312" w:hint="eastAsia"/>
          <w:sz w:val="32"/>
          <w:szCs w:val="32"/>
        </w:rPr>
        <w:t>审理的</w:t>
      </w:r>
      <w:r w:rsidR="00AD19B7" w:rsidRPr="002A7B60">
        <w:rPr>
          <w:rFonts w:ascii="仿宋_GB2312" w:eastAsia="仿宋_GB2312" w:hint="eastAsia"/>
          <w:sz w:val="32"/>
          <w:szCs w:val="32"/>
        </w:rPr>
        <w:t>“德瑞特79”黄瓜新品种</w:t>
      </w:r>
      <w:r w:rsidR="000579EF">
        <w:rPr>
          <w:rFonts w:ascii="仿宋_GB2312" w:eastAsia="仿宋_GB2312" w:hint="eastAsia"/>
          <w:sz w:val="32"/>
          <w:szCs w:val="32"/>
        </w:rPr>
        <w:t>权</w:t>
      </w:r>
      <w:r w:rsidR="00AD19B7" w:rsidRPr="002A7B60">
        <w:rPr>
          <w:rFonts w:ascii="仿宋_GB2312" w:eastAsia="仿宋_GB2312" w:hint="eastAsia"/>
          <w:sz w:val="32"/>
          <w:szCs w:val="32"/>
        </w:rPr>
        <w:t>案，</w:t>
      </w:r>
      <w:r w:rsidR="00015770" w:rsidRPr="002A7B60">
        <w:rPr>
          <w:rFonts w:ascii="仿宋_GB2312" w:eastAsia="仿宋_GB2312" w:hint="eastAsia"/>
          <w:sz w:val="32"/>
          <w:szCs w:val="32"/>
        </w:rPr>
        <w:t>根据鉴定检测结论合理转移举证责任，</w:t>
      </w:r>
      <w:r w:rsidR="00AD19B7" w:rsidRPr="002A7B60">
        <w:rPr>
          <w:rFonts w:ascii="仿宋_GB2312" w:eastAsia="仿宋_GB2312"/>
          <w:sz w:val="32"/>
          <w:szCs w:val="32"/>
        </w:rPr>
        <w:t>依法</w:t>
      </w:r>
      <w:r w:rsidR="00AD19B7" w:rsidRPr="002A7B60">
        <w:rPr>
          <w:rFonts w:ascii="仿宋_GB2312" w:eastAsia="仿宋_GB2312" w:hint="eastAsia"/>
          <w:sz w:val="32"/>
          <w:szCs w:val="32"/>
        </w:rPr>
        <w:t>降低品种权人举证难</w:t>
      </w:r>
      <w:r w:rsidR="00AD19B7" w:rsidRPr="00020EF0">
        <w:rPr>
          <w:rFonts w:ascii="仿宋_GB2312" w:eastAsia="仿宋_GB2312" w:hint="eastAsia"/>
          <w:sz w:val="32"/>
          <w:szCs w:val="32"/>
        </w:rPr>
        <w:t>度，</w:t>
      </w:r>
      <w:r w:rsidR="00454457">
        <w:rPr>
          <w:rFonts w:ascii="仿宋_GB2312" w:eastAsia="仿宋_GB2312" w:hint="eastAsia"/>
          <w:sz w:val="32"/>
          <w:szCs w:val="32"/>
        </w:rPr>
        <w:t>对</w:t>
      </w:r>
      <w:r w:rsidR="003C4FFC">
        <w:rPr>
          <w:rFonts w:ascii="仿宋_GB2312" w:eastAsia="仿宋_GB2312" w:hint="eastAsia"/>
          <w:sz w:val="32"/>
          <w:szCs w:val="32"/>
        </w:rPr>
        <w:t>强化种业司法保护具有典型意义</w:t>
      </w:r>
      <w:r w:rsidR="00AD19B7" w:rsidRPr="00020EF0">
        <w:rPr>
          <w:rFonts w:ascii="仿宋_GB2312" w:eastAsia="仿宋_GB2312"/>
          <w:sz w:val="32"/>
          <w:szCs w:val="32"/>
        </w:rPr>
        <w:t>。</w:t>
      </w:r>
    </w:p>
    <w:p w:rsidR="007A1588" w:rsidRDefault="000579EF" w:rsidP="0036587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四、深入开展调研宣传，打造知识产权</w:t>
      </w:r>
      <w:r w:rsidR="00F4460F">
        <w:rPr>
          <w:rFonts w:ascii="黑体" w:eastAsia="黑体" w:hAnsi="黑体" w:hint="eastAsia"/>
          <w:sz w:val="32"/>
          <w:szCs w:val="32"/>
        </w:rPr>
        <w:t>审判新名片</w:t>
      </w:r>
    </w:p>
    <w:p w:rsidR="00D966B2" w:rsidRDefault="00D55BB7" w:rsidP="00D966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立</w:t>
      </w:r>
      <w:r>
        <w:rPr>
          <w:rFonts w:ascii="仿宋_GB2312" w:eastAsia="仿宋_GB2312"/>
          <w:sz w:val="32"/>
          <w:szCs w:val="32"/>
        </w:rPr>
        <w:t>足济南知识产权审判工作实际，</w:t>
      </w:r>
      <w:r w:rsidR="000E0FE6" w:rsidRPr="000E0FE6">
        <w:rPr>
          <w:rFonts w:ascii="仿宋_GB2312" w:eastAsia="仿宋_GB2312" w:hint="eastAsia"/>
          <w:sz w:val="32"/>
          <w:szCs w:val="32"/>
        </w:rPr>
        <w:t>注重加强知识产权审判与理论调研、司法宣传工作的有机结合，确保审</w:t>
      </w:r>
      <w:r w:rsidR="000E0FE6">
        <w:rPr>
          <w:rFonts w:ascii="仿宋_GB2312" w:eastAsia="仿宋_GB2312" w:hint="eastAsia"/>
          <w:sz w:val="32"/>
          <w:szCs w:val="32"/>
        </w:rPr>
        <w:t>判质效与理论水平同步提升</w:t>
      </w:r>
      <w:r w:rsidR="00D966B2" w:rsidRPr="00D966B2">
        <w:rPr>
          <w:rFonts w:ascii="仿宋_GB2312" w:eastAsia="仿宋_GB2312" w:hint="eastAsia"/>
          <w:sz w:val="32"/>
          <w:szCs w:val="32"/>
        </w:rPr>
        <w:t>。</w:t>
      </w:r>
    </w:p>
    <w:p w:rsidR="00D966B2" w:rsidRPr="00D47193" w:rsidRDefault="000E0FE6" w:rsidP="00D966B2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（一）扎实推进审判调研，促进</w:t>
      </w:r>
      <w:r w:rsidR="00D966B2">
        <w:rPr>
          <w:rFonts w:ascii="楷体_GB2312" w:eastAsia="楷体_GB2312" w:hint="eastAsia"/>
          <w:sz w:val="32"/>
          <w:szCs w:val="32"/>
        </w:rPr>
        <w:t>提升</w:t>
      </w:r>
      <w:r>
        <w:rPr>
          <w:rFonts w:ascii="楷体_GB2312" w:eastAsia="楷体_GB2312" w:hint="eastAsia"/>
          <w:sz w:val="32"/>
          <w:szCs w:val="32"/>
        </w:rPr>
        <w:t>公正</w:t>
      </w:r>
      <w:r w:rsidR="00D966B2">
        <w:rPr>
          <w:rFonts w:ascii="楷体_GB2312" w:eastAsia="楷体_GB2312" w:hint="eastAsia"/>
          <w:sz w:val="32"/>
          <w:szCs w:val="32"/>
        </w:rPr>
        <w:t>司法水平。</w:t>
      </w:r>
      <w:r w:rsidR="00D966B2">
        <w:rPr>
          <w:rFonts w:ascii="仿宋_GB2312" w:eastAsia="仿宋_GB2312" w:hint="eastAsia"/>
          <w:sz w:val="32"/>
          <w:szCs w:val="32"/>
        </w:rPr>
        <w:t>坚持“围绕审判做调研，做好调研促审判”，</w:t>
      </w:r>
      <w:r w:rsidR="00B969AE">
        <w:rPr>
          <w:rFonts w:ascii="仿宋_GB2312" w:eastAsia="仿宋_GB2312" w:hint="eastAsia"/>
          <w:sz w:val="32"/>
          <w:szCs w:val="32"/>
        </w:rPr>
        <w:t>全面总结济南知识产权法庭成立以来</w:t>
      </w:r>
      <w:r w:rsidR="00394F3E">
        <w:rPr>
          <w:rFonts w:ascii="仿宋_GB2312" w:eastAsia="仿宋_GB2312" w:hint="eastAsia"/>
          <w:sz w:val="32"/>
          <w:szCs w:val="32"/>
        </w:rPr>
        <w:t>的</w:t>
      </w:r>
      <w:r w:rsidR="00D966B2">
        <w:rPr>
          <w:rFonts w:ascii="仿宋_GB2312" w:eastAsia="仿宋_GB2312" w:hint="eastAsia"/>
          <w:sz w:val="32"/>
          <w:szCs w:val="32"/>
        </w:rPr>
        <w:t>植物</w:t>
      </w:r>
      <w:r w:rsidR="00D966B2">
        <w:rPr>
          <w:rFonts w:ascii="仿宋_GB2312" w:eastAsia="仿宋_GB2312"/>
          <w:sz w:val="32"/>
          <w:szCs w:val="32"/>
        </w:rPr>
        <w:t>新品种</w:t>
      </w:r>
      <w:r w:rsidR="00D966B2" w:rsidRPr="002B168C">
        <w:rPr>
          <w:rFonts w:ascii="仿宋_GB2312" w:eastAsia="仿宋_GB2312" w:hint="eastAsia"/>
          <w:sz w:val="32"/>
          <w:szCs w:val="32"/>
        </w:rPr>
        <w:t>司法保护</w:t>
      </w:r>
      <w:r w:rsidR="00D966B2">
        <w:rPr>
          <w:rFonts w:ascii="仿宋_GB2312" w:eastAsia="仿宋_GB2312" w:hint="eastAsia"/>
          <w:sz w:val="32"/>
          <w:szCs w:val="32"/>
        </w:rPr>
        <w:t>工作</w:t>
      </w:r>
      <w:r w:rsidR="00394F3E">
        <w:rPr>
          <w:rFonts w:ascii="仿宋_GB2312" w:eastAsia="仿宋_GB2312" w:hint="eastAsia"/>
          <w:sz w:val="32"/>
          <w:szCs w:val="32"/>
        </w:rPr>
        <w:t>及司法调解工作情况</w:t>
      </w:r>
      <w:r w:rsidR="00D966B2" w:rsidRPr="002B168C">
        <w:rPr>
          <w:rFonts w:ascii="仿宋_GB2312" w:eastAsia="仿宋_GB2312" w:hint="eastAsia"/>
          <w:sz w:val="32"/>
          <w:szCs w:val="32"/>
        </w:rPr>
        <w:t>，撰写《关于植物新品种司法保护工作的调研报告》</w:t>
      </w:r>
      <w:r w:rsidR="00D966B2">
        <w:rPr>
          <w:rFonts w:ascii="仿宋_GB2312" w:eastAsia="仿宋_GB2312" w:hint="eastAsia"/>
          <w:sz w:val="32"/>
          <w:szCs w:val="32"/>
        </w:rPr>
        <w:t>《关于知识产权司法调解工作的调研报告</w:t>
      </w:r>
      <w:r w:rsidR="00394F3E">
        <w:rPr>
          <w:rFonts w:ascii="仿宋_GB2312" w:eastAsia="仿宋_GB2312" w:hint="eastAsia"/>
          <w:sz w:val="32"/>
          <w:szCs w:val="32"/>
        </w:rPr>
        <w:t>》</w:t>
      </w:r>
      <w:r w:rsidR="00D966B2" w:rsidRPr="004C4E54">
        <w:rPr>
          <w:rFonts w:ascii="仿宋_GB2312" w:eastAsia="仿宋_GB2312" w:hint="eastAsia"/>
          <w:sz w:val="32"/>
          <w:szCs w:val="32"/>
        </w:rPr>
        <w:t>。</w:t>
      </w:r>
      <w:r w:rsidR="00D966B2" w:rsidRPr="00D966B2">
        <w:rPr>
          <w:rFonts w:ascii="仿宋_GB2312" w:eastAsia="仿宋_GB2312" w:hint="eastAsia"/>
          <w:sz w:val="32"/>
          <w:szCs w:val="32"/>
        </w:rPr>
        <w:t>坚持问题导向，充分</w:t>
      </w:r>
      <w:r w:rsidR="004C4E54">
        <w:rPr>
          <w:rFonts w:ascii="仿宋_GB2312" w:eastAsia="仿宋_GB2312" w:hint="eastAsia"/>
          <w:sz w:val="32"/>
          <w:szCs w:val="32"/>
        </w:rPr>
        <w:t>思考，坚持“小切口、大纵深”，</w:t>
      </w:r>
      <w:r w:rsidR="004C4E54" w:rsidRPr="00C66781">
        <w:rPr>
          <w:rFonts w:ascii="仿宋_GB2312" w:eastAsia="仿宋_GB2312" w:hint="eastAsia"/>
          <w:sz w:val="32"/>
          <w:szCs w:val="32"/>
        </w:rPr>
        <w:t>《权利要求书笔误应结合说明书及附图综合认定》入选中国法院年度案例</w:t>
      </w:r>
      <w:r w:rsidR="004C4E54">
        <w:rPr>
          <w:rFonts w:ascii="仿宋_GB2312" w:eastAsia="仿宋_GB2312" w:hint="eastAsia"/>
          <w:sz w:val="32"/>
          <w:szCs w:val="32"/>
        </w:rPr>
        <w:t>，</w:t>
      </w:r>
      <w:r w:rsidR="004C4E54" w:rsidRPr="00691798">
        <w:rPr>
          <w:rFonts w:ascii="仿宋_GB2312" w:eastAsia="仿宋_GB2312" w:hint="eastAsia"/>
          <w:sz w:val="32"/>
          <w:szCs w:val="32"/>
        </w:rPr>
        <w:t>《囤积免冠知名企业字号构成不正当竞争的认</w:t>
      </w:r>
      <w:r w:rsidR="004C4E54" w:rsidRPr="00142294">
        <w:rPr>
          <w:rFonts w:ascii="仿宋_GB2312" w:eastAsia="仿宋_GB2312" w:hint="eastAsia"/>
          <w:sz w:val="32"/>
          <w:szCs w:val="32"/>
        </w:rPr>
        <w:t>定》入选“全省</w:t>
      </w:r>
      <w:r w:rsidR="004C4E54" w:rsidRPr="00691798">
        <w:rPr>
          <w:rFonts w:ascii="仿宋_GB2312" w:eastAsia="仿宋_GB2312" w:hint="eastAsia"/>
          <w:sz w:val="32"/>
          <w:szCs w:val="32"/>
        </w:rPr>
        <w:t>法院优</w:t>
      </w:r>
      <w:r w:rsidR="004C4E54">
        <w:rPr>
          <w:rFonts w:ascii="仿宋_GB2312" w:eastAsia="仿宋_GB2312" w:hint="eastAsia"/>
          <w:sz w:val="32"/>
          <w:szCs w:val="32"/>
        </w:rPr>
        <w:t>秀案例分析”</w:t>
      </w:r>
      <w:r w:rsidR="00D966B2" w:rsidRPr="00963000">
        <w:rPr>
          <w:rFonts w:ascii="仿宋_GB2312" w:eastAsia="仿宋_GB2312" w:hint="eastAsia"/>
          <w:sz w:val="32"/>
          <w:szCs w:val="32"/>
        </w:rPr>
        <w:t>。</w:t>
      </w:r>
    </w:p>
    <w:p w:rsidR="00D966B2" w:rsidRPr="00D47193" w:rsidRDefault="00D966B2" w:rsidP="00D966B2">
      <w:pPr>
        <w:spacing w:line="5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AA13F9">
        <w:rPr>
          <w:rFonts w:ascii="楷体_GB2312" w:eastAsia="楷体_GB2312" w:hint="eastAsia"/>
          <w:sz w:val="32"/>
          <w:szCs w:val="32"/>
        </w:rPr>
        <w:t>（二）积极开展司法宣传，有效扩大审判影响力</w:t>
      </w:r>
      <w:r>
        <w:rPr>
          <w:rFonts w:ascii="楷体_GB2312" w:eastAsia="楷体_GB2312" w:hint="eastAsia"/>
          <w:sz w:val="32"/>
          <w:szCs w:val="32"/>
        </w:rPr>
        <w:t>。</w:t>
      </w:r>
      <w:r w:rsidR="00394F3E" w:rsidRPr="000A0B2C">
        <w:rPr>
          <w:rFonts w:ascii="仿宋_GB2312" w:eastAsia="仿宋_GB2312" w:hint="eastAsia"/>
          <w:sz w:val="32"/>
          <w:szCs w:val="32"/>
        </w:rPr>
        <w:t>全方位加大知识产权司法保护宣传力度</w:t>
      </w:r>
      <w:r w:rsidR="00394F3E">
        <w:rPr>
          <w:rFonts w:ascii="仿宋_GB2312" w:eastAsia="仿宋_GB2312" w:hint="eastAsia"/>
          <w:sz w:val="32"/>
          <w:szCs w:val="32"/>
        </w:rPr>
        <w:t>，</w:t>
      </w:r>
      <w:r w:rsidRPr="00A7367A">
        <w:rPr>
          <w:rFonts w:ascii="仿宋_GB2312" w:eastAsia="仿宋_GB2312" w:hint="eastAsia"/>
          <w:sz w:val="32"/>
          <w:szCs w:val="32"/>
        </w:rPr>
        <w:t>认真组织开展“4</w:t>
      </w:r>
      <w:r w:rsidRPr="00A7367A">
        <w:rPr>
          <w:rFonts w:ascii="宋体" w:eastAsia="宋体" w:hAnsi="宋体" w:cs="宋体" w:hint="eastAsia"/>
          <w:sz w:val="32"/>
          <w:szCs w:val="32"/>
        </w:rPr>
        <w:t>•</w:t>
      </w:r>
      <w:r w:rsidRPr="00A7367A">
        <w:rPr>
          <w:rFonts w:ascii="仿宋_GB2312" w:eastAsia="仿宋_GB2312" w:hint="eastAsia"/>
          <w:sz w:val="32"/>
          <w:szCs w:val="32"/>
        </w:rPr>
        <w:t>26知识产权宣传周”活动，举办新闻通报会，向社会发布白皮书和典型案例</w:t>
      </w:r>
      <w:r>
        <w:rPr>
          <w:rFonts w:ascii="仿宋_GB2312" w:eastAsia="仿宋_GB2312" w:hint="eastAsia"/>
          <w:sz w:val="32"/>
          <w:szCs w:val="32"/>
        </w:rPr>
        <w:t>，以多种形式提高知识产权审判影响力。保持宣传工作常态化，</w:t>
      </w:r>
      <w:r w:rsidRPr="00A7367A">
        <w:rPr>
          <w:rFonts w:ascii="仿宋_GB2312" w:eastAsia="仿宋_GB2312" w:hint="eastAsia"/>
          <w:sz w:val="32"/>
          <w:szCs w:val="32"/>
        </w:rPr>
        <w:t>通过官方微博等新媒体平台实时推送工作信息，新华网、《人民法院报</w:t>
      </w:r>
      <w:r w:rsidR="00394F3E">
        <w:rPr>
          <w:rFonts w:ascii="仿宋_GB2312" w:eastAsia="仿宋_GB2312" w:hint="eastAsia"/>
          <w:sz w:val="32"/>
          <w:szCs w:val="32"/>
        </w:rPr>
        <w:t>》、山东电视台、济南日报、济南画报等多家媒体多次进行专题报道；</w:t>
      </w:r>
      <w:r w:rsidRPr="004C4E54">
        <w:rPr>
          <w:rFonts w:ascii="仿宋_GB2312" w:eastAsia="仿宋_GB2312" w:hint="eastAsia"/>
          <w:sz w:val="32"/>
          <w:szCs w:val="32"/>
        </w:rPr>
        <w:t>《中国知识产权报》和《山东法制报》先后刊发历下区法院保护</w:t>
      </w:r>
      <w:r w:rsidR="000E0FE6">
        <w:rPr>
          <w:rFonts w:ascii="仿宋_GB2312" w:eastAsia="仿宋_GB2312" w:hint="eastAsia"/>
          <w:sz w:val="32"/>
          <w:szCs w:val="32"/>
        </w:rPr>
        <w:t>知识</w:t>
      </w:r>
      <w:r w:rsidR="000E0FE6">
        <w:rPr>
          <w:rFonts w:ascii="仿宋_GB2312" w:eastAsia="仿宋_GB2312"/>
          <w:sz w:val="32"/>
          <w:szCs w:val="32"/>
        </w:rPr>
        <w:t>产权权利人</w:t>
      </w:r>
      <w:r w:rsidRPr="004C4E54">
        <w:rPr>
          <w:rFonts w:ascii="仿宋_GB2312" w:eastAsia="仿宋_GB2312" w:hint="eastAsia"/>
          <w:sz w:val="32"/>
          <w:szCs w:val="32"/>
        </w:rPr>
        <w:t>合法权益，</w:t>
      </w:r>
      <w:r w:rsidRPr="00691798">
        <w:rPr>
          <w:rFonts w:ascii="仿宋_GB2312" w:eastAsia="仿宋_GB2312" w:hint="eastAsia"/>
          <w:sz w:val="32"/>
          <w:szCs w:val="32"/>
        </w:rPr>
        <w:t>护航社会经济发展的工作</w:t>
      </w:r>
      <w:r w:rsidR="000E0FE6">
        <w:rPr>
          <w:rFonts w:ascii="仿宋_GB2312" w:eastAsia="仿宋_GB2312" w:hint="eastAsia"/>
          <w:sz w:val="32"/>
          <w:szCs w:val="32"/>
        </w:rPr>
        <w:t>经验</w:t>
      </w:r>
      <w:r w:rsidRPr="00691798">
        <w:rPr>
          <w:rFonts w:ascii="仿宋_GB2312" w:eastAsia="仿宋_GB2312" w:hint="eastAsia"/>
          <w:sz w:val="32"/>
          <w:szCs w:val="32"/>
        </w:rPr>
        <w:t>做法，取得了良好的法律效果和社会效果。</w:t>
      </w:r>
    </w:p>
    <w:p w:rsidR="00D966B2" w:rsidRPr="00FF037C" w:rsidRDefault="00D966B2" w:rsidP="00FF037C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</w:t>
      </w:r>
      <w:r w:rsidRPr="007E0F1D">
        <w:rPr>
          <w:rFonts w:ascii="楷体_GB2312" w:eastAsia="楷体_GB2312" w:hint="eastAsia"/>
          <w:sz w:val="32"/>
          <w:szCs w:val="32"/>
        </w:rPr>
        <w:t>始终坚持党建引领，建设高素质审判队伍</w:t>
      </w:r>
      <w:r>
        <w:rPr>
          <w:rFonts w:ascii="楷体_GB2312" w:eastAsia="楷体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坚持把党建作为工作总抓手，</w:t>
      </w:r>
      <w:r w:rsidRPr="00A16EB6">
        <w:rPr>
          <w:rFonts w:ascii="仿宋_GB2312" w:eastAsia="仿宋_GB2312" w:hint="eastAsia"/>
          <w:sz w:val="32"/>
          <w:szCs w:val="32"/>
        </w:rPr>
        <w:t>扎实开展政法队伍教育整顿和党史学习教育“我为群众办实事”活动，</w:t>
      </w:r>
      <w:r w:rsidRPr="00A97BDC">
        <w:rPr>
          <w:rFonts w:ascii="仿宋_GB2312" w:eastAsia="仿宋_GB2312" w:hint="eastAsia"/>
          <w:sz w:val="32"/>
          <w:szCs w:val="32"/>
        </w:rPr>
        <w:t>抓党建、带队建、促审判。</w:t>
      </w:r>
      <w:r w:rsidR="00394F3E">
        <w:rPr>
          <w:rFonts w:ascii="仿宋_GB2312" w:eastAsia="仿宋_GB2312" w:hint="eastAsia"/>
          <w:sz w:val="32"/>
          <w:szCs w:val="32"/>
        </w:rPr>
        <w:t>济南知识产权法庭</w:t>
      </w:r>
      <w:r w:rsidRPr="00B212FE">
        <w:rPr>
          <w:rFonts w:ascii="仿宋_GB2312" w:eastAsia="仿宋_GB2312" w:hint="eastAsia"/>
          <w:sz w:val="32"/>
          <w:szCs w:val="32"/>
        </w:rPr>
        <w:t>被评为</w:t>
      </w:r>
      <w:r>
        <w:rPr>
          <w:rFonts w:ascii="仿宋_GB2312" w:eastAsia="仿宋_GB2312" w:hint="eastAsia"/>
          <w:sz w:val="32"/>
          <w:szCs w:val="32"/>
        </w:rPr>
        <w:t>“全省法院知识产权审判先进集体”“全省法院</w:t>
      </w:r>
      <w:r>
        <w:rPr>
          <w:rFonts w:ascii="仿宋_GB2312" w:eastAsia="仿宋_GB2312" w:hint="eastAsia"/>
          <w:sz w:val="32"/>
          <w:szCs w:val="32"/>
        </w:rPr>
        <w:lastRenderedPageBreak/>
        <w:t>党建工作先进集体”</w:t>
      </w:r>
      <w:r w:rsidRPr="00B212FE">
        <w:rPr>
          <w:rFonts w:ascii="仿宋_GB2312" w:eastAsia="仿宋_GB2312" w:hint="eastAsia"/>
          <w:sz w:val="32"/>
          <w:szCs w:val="32"/>
        </w:rPr>
        <w:t>“济南市首批示范党支部”，2021年3月在全市政法英模事迹报告会上作为英模集体代表做了事迹报告。</w:t>
      </w:r>
      <w:r w:rsidR="00FF037C" w:rsidRPr="00FF037C">
        <w:rPr>
          <w:rFonts w:ascii="仿宋_GB2312" w:eastAsia="仿宋_GB2312" w:hint="eastAsia"/>
          <w:sz w:val="32"/>
          <w:szCs w:val="32"/>
        </w:rPr>
        <w:t>狠抓党风廉政建设和反腐败各项工作，认真开展专题教育整治活动，严格执行各项规章制度，努力</w:t>
      </w:r>
      <w:r w:rsidRPr="000A0B2C">
        <w:rPr>
          <w:rFonts w:ascii="仿宋_GB2312" w:eastAsia="仿宋_GB2312" w:hint="eastAsia"/>
          <w:sz w:val="32"/>
          <w:szCs w:val="32"/>
        </w:rPr>
        <w:t>锤炼政治过硬、业务精湛的知识产权审判队伍。</w:t>
      </w:r>
    </w:p>
    <w:p w:rsidR="00D966B2" w:rsidRDefault="00D966B2" w:rsidP="00D966B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A0B2C">
        <w:rPr>
          <w:rFonts w:ascii="仿宋_GB2312" w:eastAsia="仿宋_GB2312" w:hint="eastAsia"/>
          <w:sz w:val="32"/>
          <w:szCs w:val="32"/>
        </w:rPr>
        <w:t>一年来，济南法院知识</w:t>
      </w:r>
      <w:r w:rsidRPr="000A0B2C">
        <w:rPr>
          <w:rFonts w:ascii="仿宋_GB2312" w:eastAsia="仿宋_GB2312"/>
          <w:sz w:val="32"/>
          <w:szCs w:val="32"/>
        </w:rPr>
        <w:t>产权审判工作</w:t>
      </w:r>
      <w:r w:rsidRPr="000A0B2C">
        <w:rPr>
          <w:rFonts w:ascii="仿宋_GB2312" w:eastAsia="仿宋_GB2312" w:hint="eastAsia"/>
          <w:sz w:val="32"/>
          <w:szCs w:val="32"/>
        </w:rPr>
        <w:t>取得了一定成绩</w:t>
      </w:r>
      <w:r w:rsidR="00394F3E">
        <w:rPr>
          <w:rFonts w:ascii="仿宋_GB2312" w:eastAsia="仿宋_GB2312" w:hint="eastAsia"/>
          <w:sz w:val="32"/>
          <w:szCs w:val="32"/>
        </w:rPr>
        <w:t>，但</w:t>
      </w:r>
      <w:r w:rsidR="00FF037C" w:rsidRPr="00FF037C">
        <w:rPr>
          <w:rFonts w:ascii="仿宋_GB2312" w:eastAsia="仿宋_GB2312" w:hint="eastAsia"/>
          <w:sz w:val="32"/>
          <w:szCs w:val="32"/>
        </w:rPr>
        <w:t>仍然存在一些问题和不足。</w:t>
      </w:r>
      <w:r w:rsidRPr="000A0B2C">
        <w:rPr>
          <w:rFonts w:ascii="仿宋_GB2312" w:eastAsia="仿宋_GB2312" w:hint="eastAsia"/>
          <w:sz w:val="32"/>
          <w:szCs w:val="32"/>
        </w:rPr>
        <w:t>下一步，济南法院将进一步贯彻</w:t>
      </w:r>
      <w:r w:rsidR="00FF037C">
        <w:rPr>
          <w:rFonts w:ascii="仿宋_GB2312" w:eastAsia="仿宋_GB2312" w:hint="eastAsia"/>
          <w:sz w:val="32"/>
          <w:szCs w:val="32"/>
        </w:rPr>
        <w:t>落实中央、省市委以及上级法院的各项部署要求</w:t>
      </w:r>
      <w:r w:rsidRPr="000A0B2C">
        <w:rPr>
          <w:rFonts w:ascii="仿宋_GB2312" w:eastAsia="仿宋_GB2312"/>
          <w:sz w:val="32"/>
          <w:szCs w:val="32"/>
        </w:rPr>
        <w:t>，</w:t>
      </w:r>
      <w:r w:rsidR="00FF037C">
        <w:rPr>
          <w:rFonts w:ascii="仿宋_GB2312" w:eastAsia="仿宋_GB2312" w:hint="eastAsia"/>
          <w:sz w:val="32"/>
          <w:szCs w:val="32"/>
        </w:rPr>
        <w:t>扎实</w:t>
      </w:r>
      <w:r w:rsidR="00FF037C">
        <w:rPr>
          <w:rFonts w:ascii="仿宋_GB2312" w:eastAsia="仿宋_GB2312"/>
          <w:sz w:val="32"/>
          <w:szCs w:val="32"/>
        </w:rPr>
        <w:t>工作，</w:t>
      </w:r>
      <w:r w:rsidR="00FF037C" w:rsidRPr="00FF037C">
        <w:rPr>
          <w:rFonts w:ascii="仿宋_GB2312" w:eastAsia="仿宋_GB2312" w:hint="eastAsia"/>
          <w:sz w:val="32"/>
          <w:szCs w:val="32"/>
        </w:rPr>
        <w:t>攻坚克难，锐意进取</w:t>
      </w:r>
      <w:r w:rsidR="00F94E9F">
        <w:rPr>
          <w:rFonts w:ascii="仿宋_GB2312" w:eastAsia="仿宋_GB2312" w:hint="eastAsia"/>
          <w:sz w:val="32"/>
          <w:szCs w:val="32"/>
        </w:rPr>
        <w:t>，勇当“三个走在前”排头兵</w:t>
      </w:r>
      <w:r w:rsidR="00FF037C" w:rsidRPr="00FF037C">
        <w:rPr>
          <w:rFonts w:ascii="仿宋_GB2312" w:eastAsia="仿宋_GB2312" w:hint="eastAsia"/>
          <w:sz w:val="32"/>
          <w:szCs w:val="32"/>
        </w:rPr>
        <w:t>，</w:t>
      </w:r>
      <w:r w:rsidRPr="000A0B2C">
        <w:rPr>
          <w:rFonts w:ascii="仿宋_GB2312" w:eastAsia="仿宋_GB2312" w:hint="eastAsia"/>
          <w:sz w:val="32"/>
          <w:szCs w:val="32"/>
        </w:rPr>
        <w:t>努力开创知识产权司法保护新局面，</w:t>
      </w:r>
      <w:r w:rsidR="00FF037C" w:rsidRPr="00FF037C">
        <w:rPr>
          <w:rFonts w:ascii="仿宋_GB2312" w:eastAsia="仿宋_GB2312" w:hint="eastAsia"/>
          <w:sz w:val="32"/>
          <w:szCs w:val="32"/>
        </w:rPr>
        <w:t>为加快新时代</w:t>
      </w:r>
      <w:r w:rsidR="00F94E9F">
        <w:rPr>
          <w:rFonts w:ascii="仿宋_GB2312" w:eastAsia="仿宋_GB2312" w:hint="eastAsia"/>
          <w:sz w:val="32"/>
          <w:szCs w:val="32"/>
        </w:rPr>
        <w:t>社会主义</w:t>
      </w:r>
      <w:r w:rsidR="00FF037C" w:rsidRPr="00FF037C">
        <w:rPr>
          <w:rFonts w:ascii="仿宋_GB2312" w:eastAsia="仿宋_GB2312" w:hint="eastAsia"/>
          <w:sz w:val="32"/>
          <w:szCs w:val="32"/>
        </w:rPr>
        <w:t>现代化强省会建设提供更加有力的司法服务和保障</w:t>
      </w:r>
      <w:r w:rsidR="000579EF">
        <w:rPr>
          <w:rFonts w:ascii="仿宋_GB2312" w:eastAsia="仿宋_GB2312" w:hint="eastAsia"/>
          <w:sz w:val="32"/>
          <w:szCs w:val="32"/>
        </w:rPr>
        <w:t>，</w:t>
      </w:r>
      <w:r w:rsidR="00FF037C" w:rsidRPr="00FF037C">
        <w:rPr>
          <w:rFonts w:ascii="仿宋_GB2312" w:eastAsia="仿宋_GB2312" w:hint="eastAsia"/>
          <w:sz w:val="32"/>
          <w:szCs w:val="32"/>
        </w:rPr>
        <w:t>以优异的成绩迎接党的二十大胜利召开！</w:t>
      </w:r>
    </w:p>
    <w:p w:rsidR="00BA792A" w:rsidRPr="00D966B2" w:rsidRDefault="00BA792A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BA792A" w:rsidRPr="00D966B2" w:rsidSect="00EA0F2D">
      <w:footerReference w:type="default" r:id="rId16"/>
      <w:pgSz w:w="11906" w:h="16838"/>
      <w:pgMar w:top="1928" w:right="1474" w:bottom="1418" w:left="1531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D08" w:rsidRDefault="00A95D08">
      <w:r>
        <w:separator/>
      </w:r>
    </w:p>
  </w:endnote>
  <w:endnote w:type="continuationSeparator" w:id="0">
    <w:p w:rsidR="00A95D08" w:rsidRDefault="00A95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1515466"/>
    </w:sdtPr>
    <w:sdtEndPr>
      <w:rPr>
        <w:rFonts w:asciiTheme="minorEastAsia" w:hAnsiTheme="minorEastAsia"/>
        <w:sz w:val="24"/>
        <w:szCs w:val="24"/>
      </w:rPr>
    </w:sdtEndPr>
    <w:sdtContent>
      <w:p w:rsidR="00142294" w:rsidRDefault="00142294">
        <w:pPr>
          <w:pStyle w:val="a4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 w:rsidR="00C5441F" w:rsidRPr="00C5441F">
          <w:rPr>
            <w:rFonts w:asciiTheme="minorEastAsia" w:hAnsiTheme="minorEastAsia"/>
            <w:noProof/>
            <w:sz w:val="24"/>
            <w:szCs w:val="24"/>
            <w:lang w:val="zh-CN"/>
          </w:rPr>
          <w:t>-</w:t>
        </w:r>
        <w:r w:rsidR="00C5441F">
          <w:rPr>
            <w:rFonts w:asciiTheme="minorEastAsia" w:hAnsiTheme="minorEastAsia"/>
            <w:noProof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D08" w:rsidRDefault="00A95D08">
      <w:r>
        <w:separator/>
      </w:r>
    </w:p>
  </w:footnote>
  <w:footnote w:type="continuationSeparator" w:id="0">
    <w:p w:rsidR="00A95D08" w:rsidRDefault="00A95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43"/>
    <w:rsid w:val="00002E52"/>
    <w:rsid w:val="000048B1"/>
    <w:rsid w:val="00011DD8"/>
    <w:rsid w:val="00012862"/>
    <w:rsid w:val="00014D70"/>
    <w:rsid w:val="00015770"/>
    <w:rsid w:val="00016531"/>
    <w:rsid w:val="00020E80"/>
    <w:rsid w:val="00020EF0"/>
    <w:rsid w:val="00025839"/>
    <w:rsid w:val="00033C8D"/>
    <w:rsid w:val="00040269"/>
    <w:rsid w:val="000430C0"/>
    <w:rsid w:val="00046A65"/>
    <w:rsid w:val="00052AE2"/>
    <w:rsid w:val="00057461"/>
    <w:rsid w:val="000579EF"/>
    <w:rsid w:val="00060356"/>
    <w:rsid w:val="000611FE"/>
    <w:rsid w:val="000678CC"/>
    <w:rsid w:val="00073D0C"/>
    <w:rsid w:val="00077333"/>
    <w:rsid w:val="00082EE2"/>
    <w:rsid w:val="000859D1"/>
    <w:rsid w:val="000873FE"/>
    <w:rsid w:val="000A0B2C"/>
    <w:rsid w:val="000A131F"/>
    <w:rsid w:val="000A1CDB"/>
    <w:rsid w:val="000A2532"/>
    <w:rsid w:val="000A288B"/>
    <w:rsid w:val="000A756D"/>
    <w:rsid w:val="000B4237"/>
    <w:rsid w:val="000B510F"/>
    <w:rsid w:val="000C03BD"/>
    <w:rsid w:val="000C5621"/>
    <w:rsid w:val="000C64EF"/>
    <w:rsid w:val="000C686C"/>
    <w:rsid w:val="000D341D"/>
    <w:rsid w:val="000D38DC"/>
    <w:rsid w:val="000D3EE5"/>
    <w:rsid w:val="000D58B0"/>
    <w:rsid w:val="000E0FE6"/>
    <w:rsid w:val="000E1CE7"/>
    <w:rsid w:val="000E6F9B"/>
    <w:rsid w:val="000F085E"/>
    <w:rsid w:val="000F1447"/>
    <w:rsid w:val="000F1933"/>
    <w:rsid w:val="000F62FA"/>
    <w:rsid w:val="00101E7E"/>
    <w:rsid w:val="00106300"/>
    <w:rsid w:val="001067CD"/>
    <w:rsid w:val="00114ABF"/>
    <w:rsid w:val="00115320"/>
    <w:rsid w:val="00123650"/>
    <w:rsid w:val="00142294"/>
    <w:rsid w:val="0014703D"/>
    <w:rsid w:val="00154935"/>
    <w:rsid w:val="001570BA"/>
    <w:rsid w:val="0016622C"/>
    <w:rsid w:val="00173981"/>
    <w:rsid w:val="00186729"/>
    <w:rsid w:val="00192E3F"/>
    <w:rsid w:val="001A7B28"/>
    <w:rsid w:val="001B38E9"/>
    <w:rsid w:val="001C1B5B"/>
    <w:rsid w:val="001C5CB0"/>
    <w:rsid w:val="001D16C8"/>
    <w:rsid w:val="001E4B4B"/>
    <w:rsid w:val="001F07C4"/>
    <w:rsid w:val="00201073"/>
    <w:rsid w:val="002021DA"/>
    <w:rsid w:val="0020540B"/>
    <w:rsid w:val="0022571D"/>
    <w:rsid w:val="00232476"/>
    <w:rsid w:val="00243BF1"/>
    <w:rsid w:val="00256964"/>
    <w:rsid w:val="00263166"/>
    <w:rsid w:val="002659C8"/>
    <w:rsid w:val="00266738"/>
    <w:rsid w:val="00272D14"/>
    <w:rsid w:val="002744D5"/>
    <w:rsid w:val="00274AAE"/>
    <w:rsid w:val="00284197"/>
    <w:rsid w:val="00286B24"/>
    <w:rsid w:val="00292961"/>
    <w:rsid w:val="0029576F"/>
    <w:rsid w:val="00297BB2"/>
    <w:rsid w:val="002A7B60"/>
    <w:rsid w:val="002B1A50"/>
    <w:rsid w:val="002C6367"/>
    <w:rsid w:val="002D03F4"/>
    <w:rsid w:val="002D2424"/>
    <w:rsid w:val="002D6CEA"/>
    <w:rsid w:val="002E2463"/>
    <w:rsid w:val="002E6115"/>
    <w:rsid w:val="002E62DB"/>
    <w:rsid w:val="002E6B79"/>
    <w:rsid w:val="00300AA1"/>
    <w:rsid w:val="00307C17"/>
    <w:rsid w:val="00312AC9"/>
    <w:rsid w:val="00315661"/>
    <w:rsid w:val="00316D5D"/>
    <w:rsid w:val="003220CB"/>
    <w:rsid w:val="0032691C"/>
    <w:rsid w:val="00336900"/>
    <w:rsid w:val="003468E9"/>
    <w:rsid w:val="00352183"/>
    <w:rsid w:val="00354BAF"/>
    <w:rsid w:val="00365876"/>
    <w:rsid w:val="00372888"/>
    <w:rsid w:val="003736D9"/>
    <w:rsid w:val="00375292"/>
    <w:rsid w:val="00394F3E"/>
    <w:rsid w:val="00395A5C"/>
    <w:rsid w:val="003A2431"/>
    <w:rsid w:val="003B0A62"/>
    <w:rsid w:val="003B2E85"/>
    <w:rsid w:val="003B5EED"/>
    <w:rsid w:val="003C1E9C"/>
    <w:rsid w:val="003C4FFC"/>
    <w:rsid w:val="003C50AB"/>
    <w:rsid w:val="003C5C65"/>
    <w:rsid w:val="003C7DB0"/>
    <w:rsid w:val="003D0738"/>
    <w:rsid w:val="003D4036"/>
    <w:rsid w:val="003E1302"/>
    <w:rsid w:val="003E4586"/>
    <w:rsid w:val="003F124B"/>
    <w:rsid w:val="00404B00"/>
    <w:rsid w:val="004055A4"/>
    <w:rsid w:val="004102C2"/>
    <w:rsid w:val="00411088"/>
    <w:rsid w:val="00412FA8"/>
    <w:rsid w:val="00414AE5"/>
    <w:rsid w:val="0042073B"/>
    <w:rsid w:val="00425272"/>
    <w:rsid w:val="0042746B"/>
    <w:rsid w:val="00431E83"/>
    <w:rsid w:val="004322F1"/>
    <w:rsid w:val="00433AD9"/>
    <w:rsid w:val="0044235F"/>
    <w:rsid w:val="00446B02"/>
    <w:rsid w:val="00454457"/>
    <w:rsid w:val="00465834"/>
    <w:rsid w:val="00470E2E"/>
    <w:rsid w:val="00471F87"/>
    <w:rsid w:val="00474884"/>
    <w:rsid w:val="004847BA"/>
    <w:rsid w:val="004A0ACA"/>
    <w:rsid w:val="004A5261"/>
    <w:rsid w:val="004B531D"/>
    <w:rsid w:val="004B66FC"/>
    <w:rsid w:val="004C45AB"/>
    <w:rsid w:val="004C4E54"/>
    <w:rsid w:val="004D3877"/>
    <w:rsid w:val="004E013A"/>
    <w:rsid w:val="004E080A"/>
    <w:rsid w:val="004E7819"/>
    <w:rsid w:val="004E7CC4"/>
    <w:rsid w:val="004F18AD"/>
    <w:rsid w:val="004F638D"/>
    <w:rsid w:val="004F6B77"/>
    <w:rsid w:val="004F70B8"/>
    <w:rsid w:val="0051184C"/>
    <w:rsid w:val="00513B5C"/>
    <w:rsid w:val="00521162"/>
    <w:rsid w:val="0052288C"/>
    <w:rsid w:val="00524CF3"/>
    <w:rsid w:val="00525458"/>
    <w:rsid w:val="00530FEE"/>
    <w:rsid w:val="00535727"/>
    <w:rsid w:val="0055565A"/>
    <w:rsid w:val="0056048E"/>
    <w:rsid w:val="00571253"/>
    <w:rsid w:val="005714F7"/>
    <w:rsid w:val="00581A6F"/>
    <w:rsid w:val="00581E49"/>
    <w:rsid w:val="005876FD"/>
    <w:rsid w:val="005B086F"/>
    <w:rsid w:val="005B1843"/>
    <w:rsid w:val="005B37EC"/>
    <w:rsid w:val="005C04B0"/>
    <w:rsid w:val="005C299C"/>
    <w:rsid w:val="005D2404"/>
    <w:rsid w:val="005D43A1"/>
    <w:rsid w:val="005D766A"/>
    <w:rsid w:val="005E68D4"/>
    <w:rsid w:val="005F6C28"/>
    <w:rsid w:val="0060538C"/>
    <w:rsid w:val="00605D53"/>
    <w:rsid w:val="00606B52"/>
    <w:rsid w:val="006075A4"/>
    <w:rsid w:val="00611A26"/>
    <w:rsid w:val="006141F8"/>
    <w:rsid w:val="006203BC"/>
    <w:rsid w:val="00620543"/>
    <w:rsid w:val="0063740C"/>
    <w:rsid w:val="00650755"/>
    <w:rsid w:val="00665488"/>
    <w:rsid w:val="00666FB2"/>
    <w:rsid w:val="0066767E"/>
    <w:rsid w:val="006725A7"/>
    <w:rsid w:val="006732CB"/>
    <w:rsid w:val="006746FE"/>
    <w:rsid w:val="00681981"/>
    <w:rsid w:val="00690EDE"/>
    <w:rsid w:val="00691798"/>
    <w:rsid w:val="006A03D5"/>
    <w:rsid w:val="006A1443"/>
    <w:rsid w:val="006B1249"/>
    <w:rsid w:val="006B1DB5"/>
    <w:rsid w:val="006B7E1E"/>
    <w:rsid w:val="006D5E69"/>
    <w:rsid w:val="006E32E8"/>
    <w:rsid w:val="006F1AED"/>
    <w:rsid w:val="006F3319"/>
    <w:rsid w:val="006F3ED5"/>
    <w:rsid w:val="007064EE"/>
    <w:rsid w:val="0071327B"/>
    <w:rsid w:val="00722DBB"/>
    <w:rsid w:val="0074214F"/>
    <w:rsid w:val="00762A4A"/>
    <w:rsid w:val="0077372B"/>
    <w:rsid w:val="0077424D"/>
    <w:rsid w:val="00774D5E"/>
    <w:rsid w:val="00785D52"/>
    <w:rsid w:val="0079338E"/>
    <w:rsid w:val="0079668D"/>
    <w:rsid w:val="00796A83"/>
    <w:rsid w:val="007971F6"/>
    <w:rsid w:val="007A1588"/>
    <w:rsid w:val="007A3D02"/>
    <w:rsid w:val="007A63FC"/>
    <w:rsid w:val="007B73A8"/>
    <w:rsid w:val="007C583E"/>
    <w:rsid w:val="007E0F1D"/>
    <w:rsid w:val="00801C37"/>
    <w:rsid w:val="008047F3"/>
    <w:rsid w:val="00805D59"/>
    <w:rsid w:val="00813E8E"/>
    <w:rsid w:val="008141E9"/>
    <w:rsid w:val="00815D32"/>
    <w:rsid w:val="0082560B"/>
    <w:rsid w:val="00832DE1"/>
    <w:rsid w:val="00840114"/>
    <w:rsid w:val="00855240"/>
    <w:rsid w:val="00862FB5"/>
    <w:rsid w:val="00865153"/>
    <w:rsid w:val="00870616"/>
    <w:rsid w:val="00872001"/>
    <w:rsid w:val="00875DAC"/>
    <w:rsid w:val="008812D5"/>
    <w:rsid w:val="00882FC1"/>
    <w:rsid w:val="00885DE3"/>
    <w:rsid w:val="008863E3"/>
    <w:rsid w:val="00887857"/>
    <w:rsid w:val="0089089D"/>
    <w:rsid w:val="00893CFB"/>
    <w:rsid w:val="008975D4"/>
    <w:rsid w:val="008A524A"/>
    <w:rsid w:val="008A569D"/>
    <w:rsid w:val="008B06D6"/>
    <w:rsid w:val="008B1B65"/>
    <w:rsid w:val="008B1DA3"/>
    <w:rsid w:val="008C2955"/>
    <w:rsid w:val="008D0CF0"/>
    <w:rsid w:val="008E08EB"/>
    <w:rsid w:val="008E5760"/>
    <w:rsid w:val="00901258"/>
    <w:rsid w:val="00906D1E"/>
    <w:rsid w:val="00915BDE"/>
    <w:rsid w:val="009164D3"/>
    <w:rsid w:val="00916672"/>
    <w:rsid w:val="00922298"/>
    <w:rsid w:val="0093069C"/>
    <w:rsid w:val="009354DB"/>
    <w:rsid w:val="00936840"/>
    <w:rsid w:val="009406D7"/>
    <w:rsid w:val="00943E79"/>
    <w:rsid w:val="00945FEA"/>
    <w:rsid w:val="00961801"/>
    <w:rsid w:val="0096187F"/>
    <w:rsid w:val="00962B91"/>
    <w:rsid w:val="00963000"/>
    <w:rsid w:val="00970341"/>
    <w:rsid w:val="00972A4B"/>
    <w:rsid w:val="00972D73"/>
    <w:rsid w:val="00982A9B"/>
    <w:rsid w:val="00984C97"/>
    <w:rsid w:val="009855A2"/>
    <w:rsid w:val="009861FE"/>
    <w:rsid w:val="009874E3"/>
    <w:rsid w:val="009943DA"/>
    <w:rsid w:val="00997233"/>
    <w:rsid w:val="009A2A50"/>
    <w:rsid w:val="009B4A14"/>
    <w:rsid w:val="009E16E0"/>
    <w:rsid w:val="009E4E65"/>
    <w:rsid w:val="00A0105C"/>
    <w:rsid w:val="00A02409"/>
    <w:rsid w:val="00A15FE9"/>
    <w:rsid w:val="00A16EB6"/>
    <w:rsid w:val="00A24F42"/>
    <w:rsid w:val="00A51527"/>
    <w:rsid w:val="00A57D50"/>
    <w:rsid w:val="00A61C4E"/>
    <w:rsid w:val="00A67CCE"/>
    <w:rsid w:val="00A7367A"/>
    <w:rsid w:val="00A845FA"/>
    <w:rsid w:val="00A95D08"/>
    <w:rsid w:val="00A97BDC"/>
    <w:rsid w:val="00AA13F9"/>
    <w:rsid w:val="00AA24E7"/>
    <w:rsid w:val="00AB4C0A"/>
    <w:rsid w:val="00AC423D"/>
    <w:rsid w:val="00AC68F9"/>
    <w:rsid w:val="00AC6B75"/>
    <w:rsid w:val="00AD19B7"/>
    <w:rsid w:val="00AD6438"/>
    <w:rsid w:val="00AE00C0"/>
    <w:rsid w:val="00AE25B1"/>
    <w:rsid w:val="00AE7CF2"/>
    <w:rsid w:val="00AF2208"/>
    <w:rsid w:val="00B0428A"/>
    <w:rsid w:val="00B1370D"/>
    <w:rsid w:val="00B14CBC"/>
    <w:rsid w:val="00B212FE"/>
    <w:rsid w:val="00B21703"/>
    <w:rsid w:val="00B25EE5"/>
    <w:rsid w:val="00B265B1"/>
    <w:rsid w:val="00B310AF"/>
    <w:rsid w:val="00B372D2"/>
    <w:rsid w:val="00B40246"/>
    <w:rsid w:val="00B41450"/>
    <w:rsid w:val="00B4285B"/>
    <w:rsid w:val="00B45046"/>
    <w:rsid w:val="00B45368"/>
    <w:rsid w:val="00B54ABA"/>
    <w:rsid w:val="00B55782"/>
    <w:rsid w:val="00B5768D"/>
    <w:rsid w:val="00B65CEF"/>
    <w:rsid w:val="00B70E68"/>
    <w:rsid w:val="00B74A8A"/>
    <w:rsid w:val="00B75A35"/>
    <w:rsid w:val="00B84960"/>
    <w:rsid w:val="00B96732"/>
    <w:rsid w:val="00B969AE"/>
    <w:rsid w:val="00B97B5F"/>
    <w:rsid w:val="00BA12C3"/>
    <w:rsid w:val="00BA3465"/>
    <w:rsid w:val="00BA792A"/>
    <w:rsid w:val="00BC0631"/>
    <w:rsid w:val="00BD29E0"/>
    <w:rsid w:val="00BD2C74"/>
    <w:rsid w:val="00BD572E"/>
    <w:rsid w:val="00BF1429"/>
    <w:rsid w:val="00BF1534"/>
    <w:rsid w:val="00BF2447"/>
    <w:rsid w:val="00BF30FE"/>
    <w:rsid w:val="00C06458"/>
    <w:rsid w:val="00C21E48"/>
    <w:rsid w:val="00C3483B"/>
    <w:rsid w:val="00C40F44"/>
    <w:rsid w:val="00C4537A"/>
    <w:rsid w:val="00C4581F"/>
    <w:rsid w:val="00C5434D"/>
    <w:rsid w:val="00C5441F"/>
    <w:rsid w:val="00C63391"/>
    <w:rsid w:val="00C634A6"/>
    <w:rsid w:val="00C6567D"/>
    <w:rsid w:val="00C66258"/>
    <w:rsid w:val="00C66781"/>
    <w:rsid w:val="00C67C8A"/>
    <w:rsid w:val="00C74B29"/>
    <w:rsid w:val="00C75ADB"/>
    <w:rsid w:val="00C82C65"/>
    <w:rsid w:val="00C837F9"/>
    <w:rsid w:val="00C93B5F"/>
    <w:rsid w:val="00CA3DBD"/>
    <w:rsid w:val="00CA5753"/>
    <w:rsid w:val="00CB3C5F"/>
    <w:rsid w:val="00CC512D"/>
    <w:rsid w:val="00CD2544"/>
    <w:rsid w:val="00CD44D3"/>
    <w:rsid w:val="00CD51E8"/>
    <w:rsid w:val="00CD56DA"/>
    <w:rsid w:val="00CE0CC4"/>
    <w:rsid w:val="00CE0F34"/>
    <w:rsid w:val="00CE24F7"/>
    <w:rsid w:val="00CF180E"/>
    <w:rsid w:val="00D00D36"/>
    <w:rsid w:val="00D00EC9"/>
    <w:rsid w:val="00D122D2"/>
    <w:rsid w:val="00D2124D"/>
    <w:rsid w:val="00D3050D"/>
    <w:rsid w:val="00D420A6"/>
    <w:rsid w:val="00D47193"/>
    <w:rsid w:val="00D50AA5"/>
    <w:rsid w:val="00D51FB8"/>
    <w:rsid w:val="00D55BB7"/>
    <w:rsid w:val="00D649C0"/>
    <w:rsid w:val="00D70AC0"/>
    <w:rsid w:val="00D71093"/>
    <w:rsid w:val="00D72BF9"/>
    <w:rsid w:val="00D80D81"/>
    <w:rsid w:val="00D950F7"/>
    <w:rsid w:val="00D966B2"/>
    <w:rsid w:val="00D972DB"/>
    <w:rsid w:val="00D97620"/>
    <w:rsid w:val="00DA140C"/>
    <w:rsid w:val="00DA381C"/>
    <w:rsid w:val="00DC1579"/>
    <w:rsid w:val="00DC68B0"/>
    <w:rsid w:val="00DC743B"/>
    <w:rsid w:val="00DD15F8"/>
    <w:rsid w:val="00DE19CF"/>
    <w:rsid w:val="00DE2564"/>
    <w:rsid w:val="00DE2D1A"/>
    <w:rsid w:val="00DF189F"/>
    <w:rsid w:val="00DF6B39"/>
    <w:rsid w:val="00E02E2D"/>
    <w:rsid w:val="00E03376"/>
    <w:rsid w:val="00E12352"/>
    <w:rsid w:val="00E136EF"/>
    <w:rsid w:val="00E23F40"/>
    <w:rsid w:val="00E275DE"/>
    <w:rsid w:val="00E34894"/>
    <w:rsid w:val="00E55B2F"/>
    <w:rsid w:val="00E57797"/>
    <w:rsid w:val="00E67D19"/>
    <w:rsid w:val="00E72D04"/>
    <w:rsid w:val="00E81F0B"/>
    <w:rsid w:val="00E87682"/>
    <w:rsid w:val="00E92336"/>
    <w:rsid w:val="00E9391C"/>
    <w:rsid w:val="00E97D8C"/>
    <w:rsid w:val="00EA0103"/>
    <w:rsid w:val="00EA0F2D"/>
    <w:rsid w:val="00EA21BA"/>
    <w:rsid w:val="00EA75FF"/>
    <w:rsid w:val="00EB5F02"/>
    <w:rsid w:val="00EC26D1"/>
    <w:rsid w:val="00EC41C5"/>
    <w:rsid w:val="00EC6025"/>
    <w:rsid w:val="00EC6CEE"/>
    <w:rsid w:val="00EC7721"/>
    <w:rsid w:val="00ED08B4"/>
    <w:rsid w:val="00ED0FEC"/>
    <w:rsid w:val="00ED47D7"/>
    <w:rsid w:val="00EE7FB2"/>
    <w:rsid w:val="00F043A2"/>
    <w:rsid w:val="00F063FB"/>
    <w:rsid w:val="00F23F4D"/>
    <w:rsid w:val="00F251FE"/>
    <w:rsid w:val="00F27EA7"/>
    <w:rsid w:val="00F340BB"/>
    <w:rsid w:val="00F35DD3"/>
    <w:rsid w:val="00F400BD"/>
    <w:rsid w:val="00F4460F"/>
    <w:rsid w:val="00F4704C"/>
    <w:rsid w:val="00F47C04"/>
    <w:rsid w:val="00F630FB"/>
    <w:rsid w:val="00F812C5"/>
    <w:rsid w:val="00F93DBC"/>
    <w:rsid w:val="00F94E9F"/>
    <w:rsid w:val="00F96CEA"/>
    <w:rsid w:val="00F97EC8"/>
    <w:rsid w:val="00FB0637"/>
    <w:rsid w:val="00FB0EC3"/>
    <w:rsid w:val="00FB5FC7"/>
    <w:rsid w:val="00FC1810"/>
    <w:rsid w:val="00FC4A76"/>
    <w:rsid w:val="00FC5335"/>
    <w:rsid w:val="00FC6B03"/>
    <w:rsid w:val="00FD1356"/>
    <w:rsid w:val="00FD1A86"/>
    <w:rsid w:val="00FD28A4"/>
    <w:rsid w:val="00FE0F1B"/>
    <w:rsid w:val="00FE16D8"/>
    <w:rsid w:val="00FE7623"/>
    <w:rsid w:val="00FF037C"/>
    <w:rsid w:val="00FF0EF1"/>
    <w:rsid w:val="00FF5A88"/>
    <w:rsid w:val="084F0420"/>
    <w:rsid w:val="09BC0AB2"/>
    <w:rsid w:val="0B134990"/>
    <w:rsid w:val="0BE15B3A"/>
    <w:rsid w:val="13C67612"/>
    <w:rsid w:val="15114C7E"/>
    <w:rsid w:val="18BB14E2"/>
    <w:rsid w:val="1F162CC6"/>
    <w:rsid w:val="25C02DED"/>
    <w:rsid w:val="2C0A2E8E"/>
    <w:rsid w:val="37DB45DF"/>
    <w:rsid w:val="3929051A"/>
    <w:rsid w:val="39E53683"/>
    <w:rsid w:val="3D92642F"/>
    <w:rsid w:val="3EFC45FF"/>
    <w:rsid w:val="4DC91BF1"/>
    <w:rsid w:val="50C25C5B"/>
    <w:rsid w:val="56327B9D"/>
    <w:rsid w:val="575246CB"/>
    <w:rsid w:val="591B4184"/>
    <w:rsid w:val="5A7A169E"/>
    <w:rsid w:val="602A1623"/>
    <w:rsid w:val="60E31444"/>
    <w:rsid w:val="6EBE224A"/>
    <w:rsid w:val="6F7E4FCF"/>
    <w:rsid w:val="7AB61784"/>
    <w:rsid w:val="7AF8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rsid w:val="00300A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List Paragraph"/>
    <w:basedOn w:val="a"/>
    <w:uiPriority w:val="99"/>
    <w:rsid w:val="00300A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__7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宋体" pitchFamily="2" charset="-122"/>
                <a:cs typeface="+mn-cs"/>
              </a:defRPr>
            </a:pPr>
            <a:r>
              <a:rPr lang="zh-CN" sz="1200" b="0" baseline="0">
                <a:latin typeface="宋体" pitchFamily="2" charset="-122"/>
                <a:ea typeface="宋体" pitchFamily="2" charset="-122"/>
              </a:rPr>
              <a:t>图</a:t>
            </a:r>
            <a:r>
              <a:rPr lang="en-US" sz="1200" b="0" baseline="0">
                <a:latin typeface="宋体" pitchFamily="2" charset="-122"/>
                <a:ea typeface="宋体" pitchFamily="2" charset="-122"/>
              </a:rPr>
              <a:t>1  </a:t>
            </a:r>
            <a:r>
              <a:rPr lang="zh-CN" sz="1200" b="0" baseline="0">
                <a:latin typeface="宋体" pitchFamily="2" charset="-122"/>
                <a:ea typeface="宋体" pitchFamily="2" charset="-122"/>
              </a:rPr>
              <a:t>近五年全市法院</a:t>
            </a:r>
            <a:r>
              <a:rPr lang="zh-CN" altLang="en-US" sz="1200" b="0" baseline="0">
                <a:latin typeface="宋体" pitchFamily="2" charset="-122"/>
                <a:ea typeface="宋体" pitchFamily="2" charset="-122"/>
              </a:rPr>
              <a:t>知识产权</a:t>
            </a:r>
            <a:r>
              <a:rPr lang="zh-CN" sz="1200" b="0" baseline="0">
                <a:solidFill>
                  <a:sysClr val="windowText" lastClr="000000"/>
                </a:solidFill>
                <a:latin typeface="宋体" pitchFamily="2" charset="-122"/>
                <a:ea typeface="宋体" pitchFamily="2" charset="-122"/>
              </a:rPr>
              <a:t>案件</a:t>
            </a:r>
            <a:r>
              <a:rPr lang="zh-CN" sz="1200" b="0" baseline="0">
                <a:latin typeface="宋体" pitchFamily="2" charset="-122"/>
                <a:ea typeface="宋体" pitchFamily="2" charset="-122"/>
              </a:rPr>
              <a:t>受理数量折线图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1762486382115621"/>
          <c:y val="0.21106820729863821"/>
          <c:w val="0.81904757513695847"/>
          <c:h val="0.6956581450257342"/>
        </c:manualLayout>
      </c:layout>
      <c:lineChart>
        <c:grouping val="standard"/>
        <c:varyColors val="0"/>
        <c:ser>
          <c:idx val="0"/>
          <c:order val="0"/>
          <c:cat>
            <c:strRef>
              <c:f>Sheet1!$A$2:$A$6</c:f>
              <c:strCache>
                <c:ptCount val="5"/>
                <c:pt idx="0">
                  <c:v>2017年</c:v>
                </c:pt>
                <c:pt idx="1">
                  <c:v>2018年</c:v>
                </c:pt>
                <c:pt idx="2">
                  <c:v>2019年</c:v>
                </c:pt>
                <c:pt idx="3">
                  <c:v>2020年</c:v>
                </c:pt>
                <c:pt idx="4">
                  <c:v>2021年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1705</c:v>
                </c:pt>
                <c:pt idx="1">
                  <c:v>2634</c:v>
                </c:pt>
                <c:pt idx="2">
                  <c:v>3788</c:v>
                </c:pt>
                <c:pt idx="3">
                  <c:v>5294</c:v>
                </c:pt>
                <c:pt idx="4">
                  <c:v>4604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2075136"/>
        <c:axId val="130996096"/>
      </c:lineChart>
      <c:catAx>
        <c:axId val="112075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30996096"/>
        <c:crosses val="autoZero"/>
        <c:auto val="1"/>
        <c:lblAlgn val="ctr"/>
        <c:lblOffset val="100"/>
        <c:noMultiLvlLbl val="0"/>
      </c:catAx>
      <c:valAx>
        <c:axId val="13099609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1207513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 rot="0" vert="horz"/>
          <a:lstStyle/>
          <a:p>
            <a:pPr>
              <a:defRPr baseline="0">
                <a:latin typeface="+mn-ea"/>
                <a:ea typeface="宋体" pitchFamily="2" charset="-122"/>
              </a:defRPr>
            </a:pPr>
            <a:r>
              <a:rPr lang="zh-CN" sz="1200" b="0" baseline="0">
                <a:latin typeface="宋体" pitchFamily="2" charset="-122"/>
                <a:ea typeface="宋体" pitchFamily="2" charset="-122"/>
              </a:rPr>
              <a:t>图</a:t>
            </a:r>
            <a:r>
              <a:rPr lang="en-US" sz="1200" b="0" baseline="0">
                <a:latin typeface="宋体" pitchFamily="2" charset="-122"/>
                <a:ea typeface="宋体" pitchFamily="2" charset="-122"/>
              </a:rPr>
              <a:t>2  </a:t>
            </a:r>
            <a:r>
              <a:rPr lang="zh-CN" sz="1200" b="0" baseline="0">
                <a:latin typeface="宋体" pitchFamily="2" charset="-122"/>
                <a:ea typeface="宋体" pitchFamily="2" charset="-122"/>
              </a:rPr>
              <a:t>结收比</a:t>
            </a:r>
          </a:p>
        </c:rich>
      </c:tx>
      <c:layout>
        <c:manualLayout>
          <c:xMode val="edge"/>
          <c:yMode val="edge"/>
          <c:x val="0.27028423772609816"/>
          <c:y val="0.1016437395492179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72414634344683"/>
          <c:y val="0.2630746588363822"/>
          <c:w val="0.59370688971292696"/>
          <c:h val="0.69622519541918815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结收比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layout>
                <c:manualLayout>
                  <c:x val="-3.4237522635251989E-2"/>
                  <c:y val="-9.3123359580051385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vert="horz"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zh-CN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999999999999998"/>
                      <c:h val="0.114146341463415"/>
                    </c:manualLayout>
                  </c15:layout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Sheet1!$A$2:$A$3</c:f>
              <c:numCache>
                <c:formatCode>General</c:formatCode>
                <c:ptCount val="2"/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4367</c:v>
                </c:pt>
                <c:pt idx="1">
                  <c:v>237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 rot="0" vert="horz"/>
          <a:lstStyle/>
          <a:p>
            <a:pPr>
              <a:defRPr>
                <a:latin typeface="+mn-ea"/>
                <a:ea typeface="+mn-ea"/>
              </a:defRPr>
            </a:pPr>
            <a:r>
              <a:rPr lang="zh-CN" sz="1200" b="0">
                <a:latin typeface="+mn-ea"/>
                <a:ea typeface="+mn-ea"/>
              </a:rPr>
              <a:t>图</a:t>
            </a:r>
            <a:r>
              <a:rPr lang="en-US" altLang="zh-CN" sz="1200" b="0">
                <a:latin typeface="+mn-ea"/>
                <a:ea typeface="+mn-ea"/>
              </a:rPr>
              <a:t>3</a:t>
            </a:r>
            <a:r>
              <a:rPr lang="en-US" sz="1200" b="0">
                <a:latin typeface="+mn-ea"/>
                <a:ea typeface="+mn-ea"/>
              </a:rPr>
              <a:t>  </a:t>
            </a:r>
            <a:r>
              <a:rPr lang="zh-CN" sz="1200" b="0">
                <a:latin typeface="+mn-ea"/>
                <a:ea typeface="+mn-ea"/>
              </a:rPr>
              <a:t>服判息诉率</a:t>
            </a:r>
          </a:p>
        </c:rich>
      </c:tx>
      <c:layout>
        <c:manualLayout>
          <c:xMode val="edge"/>
          <c:yMode val="edge"/>
          <c:x val="0.17621024029730198"/>
          <c:y val="0.1017849379257040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18795179295644"/>
          <c:y val="0.27074275407204057"/>
          <c:w val="0.62090139218034635"/>
          <c:h val="0.70622771846770682"/>
        </c:manualLayout>
      </c:layout>
      <c:doughnutChart>
        <c:varyColors val="1"/>
        <c:ser>
          <c:idx val="0"/>
          <c:order val="0"/>
          <c:tx>
            <c:strRef>
              <c:f>Sheet1!$A$1</c:f>
              <c:strCache>
                <c:ptCount val="1"/>
                <c:pt idx="0">
                  <c:v> 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layout>
                <c:manualLayout>
                  <c:x val="-9.2592592592592587E-3"/>
                  <c:y val="8.1092136210246454E-3"/>
                </c:manualLayout>
              </c:layout>
              <c:tx>
                <c:rich>
                  <a:bodyPr/>
                  <a:lstStyle/>
                  <a:p>
                    <a:r>
                      <a:rPr lang="en-US" altLang="zh-CN">
                        <a:solidFill>
                          <a:schemeClr val="bg1"/>
                        </a:solidFill>
                      </a:rPr>
                      <a:t>90.77%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"/>
                      <c:h val="0.168130081300813"/>
                    </c:manualLayout>
                  </c15:layout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Sheet1!$A$2:$A$3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Sheet1!$B$1</c:f>
              <c:strCache>
                <c:ptCount val="1"/>
                <c:pt idx="0">
                  <c:v>服判息诉率</c:v>
                </c:pt>
              </c:strCache>
            </c:strRef>
          </c:tx>
          <c:dLbls>
            <c:dLbl>
              <c:idx val="0"/>
              <c:layout>
                <c:manualLayout>
                  <c:x val="-2.6990553306342781E-2"/>
                  <c:y val="-6.1443932411674347E-3"/>
                </c:manualLayout>
              </c:layout>
              <c:tx>
                <c:rich>
                  <a:bodyPr/>
                  <a:lstStyle/>
                  <a:p>
                    <a:r>
                      <a:rPr lang="en-US" altLang="zh-CN">
                        <a:solidFill>
                          <a:schemeClr val="bg1"/>
                        </a:solidFill>
                      </a:rPr>
                      <a:t>94.23%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val>
            <c:numRef>
              <c:f>Sheet1!$B$2:$B$3</c:f>
              <c:numCache>
                <c:formatCode>General</c:formatCode>
                <c:ptCount val="2"/>
                <c:pt idx="0">
                  <c:v>4115</c:v>
                </c:pt>
                <c:pt idx="1">
                  <c:v>252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1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zh-CN" sz="1200" b="0">
                <a:latin typeface="+mn-ea"/>
                <a:ea typeface="+mn-ea"/>
              </a:rPr>
              <a:t>图</a:t>
            </a:r>
            <a:r>
              <a:rPr lang="en-US" altLang="zh-CN" sz="1200" b="0">
                <a:latin typeface="+mn-ea"/>
                <a:ea typeface="+mn-ea"/>
              </a:rPr>
              <a:t>4</a:t>
            </a:r>
            <a:r>
              <a:rPr lang="en-US" sz="1200" b="0">
                <a:latin typeface="+mn-ea"/>
                <a:ea typeface="+mn-ea"/>
              </a:rPr>
              <a:t>  </a:t>
            </a:r>
            <a:r>
              <a:rPr lang="zh-CN" sz="1200" b="0">
                <a:latin typeface="+mn-ea"/>
                <a:ea typeface="+mn-ea"/>
              </a:rPr>
              <a:t>调撤率</a:t>
            </a:r>
          </a:p>
        </c:rich>
      </c:tx>
      <c:layout>
        <c:manualLayout>
          <c:xMode val="edge"/>
          <c:yMode val="edge"/>
          <c:x val="0.26424811184316244"/>
          <c:y val="0.11744731446319595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355673304582852"/>
          <c:y val="0.25892335877121675"/>
          <c:w val="0.63885585730355132"/>
          <c:h val="0.7235116411681205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调撤率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layout>
                <c:manualLayout>
                  <c:x val="-0.20835309871980287"/>
                  <c:y val="0.13983911733255577"/>
                </c:manualLayout>
              </c:layout>
              <c:tx>
                <c:rich>
                  <a:bodyPr/>
                  <a:lstStyle/>
                  <a:p>
                    <a:r>
                      <a:rPr lang="en-US" altLang="zh-CN" sz="1000">
                        <a:solidFill>
                          <a:schemeClr val="bg1"/>
                        </a:solidFill>
                      </a:rPr>
                      <a:t>64.14%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740740740740698"/>
                      <c:h val="0.138536585365854"/>
                    </c:manualLayout>
                  </c15:layout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Sheet1!$A$2:$A$3</c:f>
              <c:numCache>
                <c:formatCode>General</c:formatCode>
                <c:ptCount val="2"/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2801</c:v>
                </c:pt>
                <c:pt idx="1">
                  <c:v>1566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3"/>
      </c:doughnut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 rot="0" vert="horz"/>
          <a:lstStyle/>
          <a:p>
            <a:pPr>
              <a:defRPr baseline="0">
                <a:ea typeface="宋体" pitchFamily="2" charset="-122"/>
              </a:defRPr>
            </a:pPr>
            <a:r>
              <a:rPr lang="zh-CN" sz="1200" b="0" baseline="0">
                <a:latin typeface="宋体" pitchFamily="2" charset="-122"/>
                <a:ea typeface="宋体" pitchFamily="2" charset="-122"/>
              </a:rPr>
              <a:t>图</a:t>
            </a:r>
            <a:r>
              <a:rPr lang="en-US" sz="1200" b="0" baseline="0">
                <a:latin typeface="宋体" pitchFamily="2" charset="-122"/>
                <a:ea typeface="宋体" pitchFamily="2" charset="-122"/>
              </a:rPr>
              <a:t>5  2021</a:t>
            </a:r>
            <a:r>
              <a:rPr lang="zh-CN" sz="1200" b="0" baseline="0">
                <a:latin typeface="宋体" pitchFamily="2" charset="-122"/>
                <a:ea typeface="宋体" pitchFamily="2" charset="-122"/>
              </a:rPr>
              <a:t>年</a:t>
            </a:r>
            <a:r>
              <a:rPr lang="zh-CN" altLang="en-US" sz="1200" b="0" baseline="0">
                <a:latin typeface="宋体" pitchFamily="2" charset="-122"/>
                <a:ea typeface="宋体" pitchFamily="2" charset="-122"/>
              </a:rPr>
              <a:t>全市法院</a:t>
            </a:r>
            <a:r>
              <a:rPr lang="zh-CN" sz="1200" b="0" baseline="0">
                <a:latin typeface="宋体" pitchFamily="2" charset="-122"/>
                <a:ea typeface="宋体" pitchFamily="2" charset="-122"/>
              </a:rPr>
              <a:t>受理知识产权案件类型分布图</a:t>
            </a:r>
          </a:p>
        </c:rich>
      </c:tx>
      <c:layout>
        <c:manualLayout>
          <c:xMode val="edge"/>
          <c:yMode val="edge"/>
          <c:x val="0.15319192755030767"/>
          <c:y val="1.3433675481640309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844780681032257"/>
          <c:y val="0.25546339474555974"/>
          <c:w val="0.42005673347021261"/>
          <c:h val="0.72989263069805066"/>
        </c:manualLayout>
      </c:layout>
      <c:pie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  <c:spPr>
              <a:solidFill>
                <a:srgbClr val="C00000"/>
              </a:solidFill>
            </c:spPr>
          </c:dPt>
          <c:dLbls>
            <c:dLbl>
              <c:idx val="3"/>
              <c:layout>
                <c:manualLayout>
                  <c:x val="1.42958244869073E-2"/>
                  <c:y val="5.6016132646202104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4195511146188702E-3"/>
                  <c:y val="-4.840020859084700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4.4711742757065499E-2"/>
                  <c:y val="-3.423073326667300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CN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Sheet1!$A$2:$A$8</c:f>
              <c:strCache>
                <c:ptCount val="7"/>
                <c:pt idx="0">
                  <c:v>著作权</c:v>
                </c:pt>
                <c:pt idx="1">
                  <c:v>专利权</c:v>
                </c:pt>
                <c:pt idx="2">
                  <c:v>商标权</c:v>
                </c:pt>
                <c:pt idx="3">
                  <c:v>特许经营合同</c:v>
                </c:pt>
                <c:pt idx="4">
                  <c:v>不正当竞争</c:v>
                </c:pt>
                <c:pt idx="5">
                  <c:v>技术合同</c:v>
                </c:pt>
                <c:pt idx="6">
                  <c:v>其他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1580</c:v>
                </c:pt>
                <c:pt idx="1">
                  <c:v>1180</c:v>
                </c:pt>
                <c:pt idx="2">
                  <c:v>786</c:v>
                </c:pt>
                <c:pt idx="3">
                  <c:v>487</c:v>
                </c:pt>
                <c:pt idx="4">
                  <c:v>178</c:v>
                </c:pt>
                <c:pt idx="5">
                  <c:v>112</c:v>
                </c:pt>
                <c:pt idx="6">
                  <c:v>281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5721488322205044"/>
          <c:y val="0.24142577143532115"/>
          <c:w val="0.22523110478777614"/>
          <c:h val="0.73429041901808123"/>
        </c:manualLayout>
      </c:layout>
      <c:overlay val="0"/>
      <c:txPr>
        <a:bodyPr rot="0" vert="horz"/>
        <a:lstStyle/>
        <a:p>
          <a:pPr>
            <a:defRPr/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dk1"/>
                </a:solidFill>
                <a:latin typeface="+mn-lt"/>
                <a:ea typeface="宋体" pitchFamily="2" charset="-122"/>
                <a:cs typeface="+mn-cs"/>
              </a:defRPr>
            </a:pPr>
            <a:r>
              <a:rPr lang="zh-CN" sz="1200" b="0" baseline="0">
                <a:latin typeface="宋体" pitchFamily="2" charset="-122"/>
                <a:ea typeface="宋体" pitchFamily="2" charset="-122"/>
              </a:rPr>
              <a:t>图</a:t>
            </a:r>
            <a:r>
              <a:rPr lang="en-US" sz="1200" b="0" baseline="0">
                <a:latin typeface="宋体" pitchFamily="2" charset="-122"/>
                <a:ea typeface="宋体" pitchFamily="2" charset="-122"/>
              </a:rPr>
              <a:t>6  2021</a:t>
            </a:r>
            <a:r>
              <a:rPr lang="zh-CN" altLang="en-US" sz="1200" b="0" baseline="0">
                <a:latin typeface="宋体" pitchFamily="2" charset="-122"/>
                <a:ea typeface="宋体" pitchFamily="2" charset="-122"/>
              </a:rPr>
              <a:t>年中院受理专业技术性较强的</a:t>
            </a:r>
            <a:r>
              <a:rPr lang="zh-CN" altLang="en-US" sz="1200" b="0" baseline="0">
                <a:solidFill>
                  <a:sysClr val="windowText" lastClr="000000"/>
                </a:solidFill>
                <a:latin typeface="宋体" pitchFamily="2" charset="-122"/>
                <a:ea typeface="宋体" pitchFamily="2" charset="-122"/>
              </a:rPr>
              <a:t>知识产权</a:t>
            </a:r>
            <a:r>
              <a:rPr lang="zh-CN" sz="1200" b="0" baseline="0">
                <a:solidFill>
                  <a:sysClr val="windowText" lastClr="000000"/>
                </a:solidFill>
                <a:latin typeface="宋体" pitchFamily="2" charset="-122"/>
                <a:ea typeface="宋体" pitchFamily="2" charset="-122"/>
              </a:rPr>
              <a:t>案件</a:t>
            </a:r>
            <a:r>
              <a:rPr lang="zh-CN" sz="1200" b="0" baseline="0">
                <a:latin typeface="宋体" pitchFamily="2" charset="-122"/>
                <a:ea typeface="宋体" pitchFamily="2" charset="-122"/>
              </a:rPr>
              <a:t>分布图</a:t>
            </a:r>
          </a:p>
        </c:rich>
      </c:tx>
      <c:layout>
        <c:manualLayout>
          <c:xMode val="edge"/>
          <c:yMode val="edge"/>
          <c:x val="0.15354834375793042"/>
          <c:y val="2.33251411546209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8696745309071003"/>
          <c:y val="0.23677893787505636"/>
          <c:w val="0.34150267759525466"/>
          <c:h val="0.7577560789482812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图3    技术类案件分布图
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  <c:spPr>
              <a:solidFill>
                <a:srgbClr val="C00000"/>
              </a:solidFill>
            </c:spPr>
          </c:dPt>
          <c:dLbls>
            <c:dLbl>
              <c:idx val="4"/>
              <c:layout>
                <c:manualLayout>
                  <c:x val="-1.54504458831496E-2"/>
                  <c:y val="1.16390371521795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6.02318796792293E-2"/>
                  <c:y val="-3.26793899469078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6.6671665243601798E-3"/>
                  <c:y val="-1.2548630588497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9.6984252501607998E-2"/>
                  <c:y val="2.924545886241389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Sheet1!$A$2:$A$8</c:f>
              <c:strCache>
                <c:ptCount val="7"/>
                <c:pt idx="0">
                  <c:v>侵害外观设计专利权</c:v>
                </c:pt>
                <c:pt idx="1">
                  <c:v>侵害实用新型专利权</c:v>
                </c:pt>
                <c:pt idx="2">
                  <c:v>侵害发明专利权</c:v>
                </c:pt>
                <c:pt idx="3">
                  <c:v>专利权权属</c:v>
                </c:pt>
                <c:pt idx="4">
                  <c:v>计算机软件</c:v>
                </c:pt>
                <c:pt idx="5">
                  <c:v>植物新品种</c:v>
                </c:pt>
                <c:pt idx="6">
                  <c:v>其他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698</c:v>
                </c:pt>
                <c:pt idx="1">
                  <c:v>287</c:v>
                </c:pt>
                <c:pt idx="2">
                  <c:v>75</c:v>
                </c:pt>
                <c:pt idx="3">
                  <c:v>151</c:v>
                </c:pt>
                <c:pt idx="4">
                  <c:v>61</c:v>
                </c:pt>
                <c:pt idx="5">
                  <c:v>58</c:v>
                </c:pt>
                <c:pt idx="6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027080050546116"/>
          <c:y val="0.22612177610030151"/>
          <c:w val="0.31094013617301525"/>
          <c:h val="0.686723080203983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 b="0">
                <a:solidFill>
                  <a:sysClr val="windowText" lastClr="000000"/>
                </a:solidFill>
                <a:latin typeface="+mn-ea"/>
                <a:ea typeface="+mn-ea"/>
              </a:rPr>
              <a:t>图</a:t>
            </a:r>
            <a:r>
              <a:rPr lang="en-US" altLang="zh-CN" sz="1200" b="0">
                <a:solidFill>
                  <a:sysClr val="windowText" lastClr="000000"/>
                </a:solidFill>
                <a:latin typeface="+mn-ea"/>
                <a:ea typeface="+mn-ea"/>
              </a:rPr>
              <a:t>7  2021</a:t>
            </a:r>
            <a:r>
              <a:rPr lang="zh-CN" altLang="en-US" sz="1200" b="0">
                <a:solidFill>
                  <a:sysClr val="windowText" lastClr="000000"/>
                </a:solidFill>
                <a:latin typeface="+mn-ea"/>
                <a:ea typeface="+mn-ea"/>
              </a:rPr>
              <a:t>年全市法院受理涉外及涉港、澳、台</a:t>
            </a:r>
            <a:endParaRPr lang="en-US" altLang="zh-CN" sz="1200" b="0">
              <a:solidFill>
                <a:sysClr val="windowText" lastClr="000000"/>
              </a:solidFill>
              <a:latin typeface="+mn-ea"/>
              <a:ea typeface="+mn-ea"/>
            </a:endParaRPr>
          </a:p>
          <a:p>
            <a:pPr>
              <a:defRPr lang="zh-CN" sz="1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zh-CN" altLang="en-US" sz="1200" b="0">
                <a:solidFill>
                  <a:sysClr val="windowText" lastClr="000000"/>
                </a:solidFill>
                <a:latin typeface="+mn-ea"/>
                <a:ea typeface="+mn-ea"/>
              </a:rPr>
              <a:t>知识产权案件地区分布图</a:t>
            </a:r>
          </a:p>
        </c:rich>
      </c:tx>
      <c:layout>
        <c:manualLayout>
          <c:xMode val="edge"/>
          <c:yMode val="edge"/>
          <c:x val="0.17959490484855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6306763490416829"/>
          <c:y val="0.2739150542985101"/>
          <c:w val="0.40491746007980634"/>
          <c:h val="0.7473908555900068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图4  涉外及涉港、澳、台案件地区分布图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Lbls>
            <c:dLbl>
              <c:idx val="3"/>
              <c:layout>
                <c:manualLayout>
                  <c:x val="-6.2260127931769702E-2"/>
                  <c:y val="1.949934123847170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1.5920398009950199E-2"/>
                  <c:y val="0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417199715707199E-2"/>
                      <c:h val="0.10223978919631101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3.1983045341336259E-2"/>
                  <c:y val="-3.3564999958601391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6062579603875644E-2"/>
                  <c:y val="-4.618329648856983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5.423902562277947E-2"/>
                  <c:y val="-2.143355109002543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7.2921108742004304E-2"/>
                  <c:y val="2.977602108036889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Sheet1!$A$2:$A$9</c:f>
              <c:strCache>
                <c:ptCount val="8"/>
                <c:pt idx="0">
                  <c:v>中国香港</c:v>
                </c:pt>
                <c:pt idx="1">
                  <c:v>中国台湾</c:v>
                </c:pt>
                <c:pt idx="2">
                  <c:v>韩国</c:v>
                </c:pt>
                <c:pt idx="3">
                  <c:v>法国</c:v>
                </c:pt>
                <c:pt idx="4">
                  <c:v>日本</c:v>
                </c:pt>
                <c:pt idx="5">
                  <c:v>英国</c:v>
                </c:pt>
                <c:pt idx="6">
                  <c:v>美国</c:v>
                </c:pt>
                <c:pt idx="7">
                  <c:v>其他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6</c:v>
                </c:pt>
                <c:pt idx="1">
                  <c:v>1</c:v>
                </c:pt>
                <c:pt idx="2">
                  <c:v>20</c:v>
                </c:pt>
                <c:pt idx="3">
                  <c:v>8</c:v>
                </c:pt>
                <c:pt idx="4">
                  <c:v>6</c:v>
                </c:pt>
                <c:pt idx="5">
                  <c:v>5</c:v>
                </c:pt>
                <c:pt idx="6">
                  <c:v>4</c:v>
                </c:pt>
                <c:pt idx="7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694171867825369"/>
          <c:y val="0.25600171725746179"/>
          <c:w val="0.1641021978084273"/>
          <c:h val="0.71704241430787696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116A3A-9AA4-46C3-BEC9-F17372C6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4853</Words>
  <Characters>329</Characters>
  <Application>Microsoft Office Word</Application>
  <DocSecurity>0</DocSecurity>
  <Lines>2</Lines>
  <Paragraphs>10</Paragraphs>
  <ScaleCrop>false</ScaleCrop>
  <Company>P R C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张正良</dc:creator>
  <cp:lastModifiedBy>田越洋</cp:lastModifiedBy>
  <cp:revision>2</cp:revision>
  <cp:lastPrinted>2022-04-12T08:29:00Z</cp:lastPrinted>
  <dcterms:created xsi:type="dcterms:W3CDTF">2022-04-21T00:51:00Z</dcterms:created>
  <dcterms:modified xsi:type="dcterms:W3CDTF">2022-04-21T00:51:00Z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BBDCF593FFA542059F51F23EECBE1DBC</vt:lpwstr>
  </property>
</Properties>
</file>